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12.xml" ContentType="application/vnd.ms-office.chartcolorstyle+xml"/>
  <Override PartName="/word/charts/colors13.xml" ContentType="application/vnd.ms-office.chartcolorstyle+xml"/>
  <Override PartName="/word/charts/colors14.xml" ContentType="application/vnd.ms-office.chartcolorstyle+xml"/>
  <Override PartName="/word/charts/colors15.xml" ContentType="application/vnd.ms-office.chartcolorstyle+xml"/>
  <Override PartName="/word/charts/colors16.xml" ContentType="application/vnd.ms-office.chartcolorstyle+xml"/>
  <Override PartName="/word/charts/colors17.xml" ContentType="application/vnd.ms-office.chartcolorstyle+xml"/>
  <Override PartName="/word/charts/colors18.xml" ContentType="application/vnd.ms-office.chartcolorstyle+xml"/>
  <Override PartName="/word/charts/colors19.xml" ContentType="application/vnd.ms-office.chartcolorstyle+xml"/>
  <Override PartName="/word/charts/colors2.xml" ContentType="application/vnd.ms-office.chartcolorstyle+xml"/>
  <Override PartName="/word/charts/colors20.xml" ContentType="application/vnd.ms-office.chartcolorstyle+xml"/>
  <Override PartName="/word/charts/colors21.xml" ContentType="application/vnd.ms-office.chartcolorstyle+xml"/>
  <Override PartName="/word/charts/colors22.xml" ContentType="application/vnd.ms-office.chartcolorstyle+xml"/>
  <Override PartName="/word/charts/colors23.xml" ContentType="application/vnd.ms-office.chartcolorstyle+xml"/>
  <Override PartName="/word/charts/colors24.xml" ContentType="application/vnd.ms-office.chartcolorstyle+xml"/>
  <Override PartName="/word/charts/colors25.xml" ContentType="application/vnd.ms-office.chartcolorstyle+xml"/>
  <Override PartName="/word/charts/colors26.xml" ContentType="application/vnd.ms-office.chartcolorstyle+xml"/>
  <Override PartName="/word/charts/colors27.xml" ContentType="application/vnd.ms-office.chartcolorstyle+xml"/>
  <Override PartName="/word/charts/colors28.xml" ContentType="application/vnd.ms-office.chartcolorstyle+xml"/>
  <Override PartName="/word/charts/colors29.xml" ContentType="application/vnd.ms-office.chartcolorstyle+xml"/>
  <Override PartName="/word/charts/colors3.xml" ContentType="application/vnd.ms-office.chartcolorstyle+xml"/>
  <Override PartName="/word/charts/colors30.xml" ContentType="application/vnd.ms-office.chartcolorstyle+xml"/>
  <Override PartName="/word/charts/colors31.xml" ContentType="application/vnd.ms-office.chartcolorstyle+xml"/>
  <Override PartName="/word/charts/colors32.xml" ContentType="application/vnd.ms-office.chartcolorstyle+xml"/>
  <Override PartName="/word/charts/colors33.xml" ContentType="application/vnd.ms-office.chartcolorstyle+xml"/>
  <Override PartName="/word/charts/colors34.xml" ContentType="application/vnd.ms-office.chartcolorstyle+xml"/>
  <Override PartName="/word/charts/colors35.xml" ContentType="application/vnd.ms-office.chartcolorstyle+xml"/>
  <Override PartName="/word/charts/colors36.xml" ContentType="application/vnd.ms-office.chartcolorstyle+xml"/>
  <Override PartName="/word/charts/colors37.xml" ContentType="application/vnd.ms-office.chartcolorstyle+xml"/>
  <Override PartName="/word/charts/colors38.xml" ContentType="application/vnd.ms-office.chartcolorstyle+xml"/>
  <Override PartName="/word/charts/colors39.xml" ContentType="application/vnd.ms-office.chartcolorstyle+xml"/>
  <Override PartName="/word/charts/colors4.xml" ContentType="application/vnd.ms-office.chartcolorstyle+xml"/>
  <Override PartName="/word/charts/colors40.xml" ContentType="application/vnd.ms-office.chartcolorstyle+xml"/>
  <Override PartName="/word/charts/colors41.xml" ContentType="application/vnd.ms-office.chartcolorstyle+xml"/>
  <Override PartName="/word/charts/colors42.xml" ContentType="application/vnd.ms-office.chartcolorstyle+xml"/>
  <Override PartName="/word/charts/colors43.xml" ContentType="application/vnd.ms-office.chartcolorstyle+xml"/>
  <Override PartName="/word/charts/colors44.xml" ContentType="application/vnd.ms-office.chartcolorstyle+xml"/>
  <Override PartName="/word/charts/colors45.xml" ContentType="application/vnd.ms-office.chartcolorstyle+xml"/>
  <Override PartName="/word/charts/colors46.xml" ContentType="application/vnd.ms-office.chartcolorstyle+xml"/>
  <Override PartName="/word/charts/colors47.xml" ContentType="application/vnd.ms-office.chartcolorstyle+xml"/>
  <Override PartName="/word/charts/colors48.xml" ContentType="application/vnd.ms-office.chartcolorstyle+xml"/>
  <Override PartName="/word/charts/colors49.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12.xml" ContentType="application/vnd.ms-office.chartstyle+xml"/>
  <Override PartName="/word/charts/style13.xml" ContentType="application/vnd.ms-office.chartstyle+xml"/>
  <Override PartName="/word/charts/style14.xml" ContentType="application/vnd.ms-office.chartstyle+xml"/>
  <Override PartName="/word/charts/style15.xml" ContentType="application/vnd.ms-office.chartstyle+xml"/>
  <Override PartName="/word/charts/style16.xml" ContentType="application/vnd.ms-office.chartstyle+xml"/>
  <Override PartName="/word/charts/style17.xml" ContentType="application/vnd.ms-office.chartstyle+xml"/>
  <Override PartName="/word/charts/style18.xml" ContentType="application/vnd.ms-office.chartstyle+xml"/>
  <Override PartName="/word/charts/style19.xml" ContentType="application/vnd.ms-office.chartstyle+xml"/>
  <Override PartName="/word/charts/style2.xml" ContentType="application/vnd.ms-office.chartstyle+xml"/>
  <Override PartName="/word/charts/style20.xml" ContentType="application/vnd.ms-office.chartstyle+xml"/>
  <Override PartName="/word/charts/style21.xml" ContentType="application/vnd.ms-office.chartstyle+xml"/>
  <Override PartName="/word/charts/style22.xml" ContentType="application/vnd.ms-office.chartstyle+xml"/>
  <Override PartName="/word/charts/style23.xml" ContentType="application/vnd.ms-office.chartstyle+xml"/>
  <Override PartName="/word/charts/style24.xml" ContentType="application/vnd.ms-office.chartstyle+xml"/>
  <Override PartName="/word/charts/style25.xml" ContentType="application/vnd.ms-office.chartstyle+xml"/>
  <Override PartName="/word/charts/style26.xml" ContentType="application/vnd.ms-office.chartstyle+xml"/>
  <Override PartName="/word/charts/style27.xml" ContentType="application/vnd.ms-office.chartstyle+xml"/>
  <Override PartName="/word/charts/style28.xml" ContentType="application/vnd.ms-office.chartstyle+xml"/>
  <Override PartName="/word/charts/style29.xml" ContentType="application/vnd.ms-office.chartstyle+xml"/>
  <Override PartName="/word/charts/style3.xml" ContentType="application/vnd.ms-office.chartstyle+xml"/>
  <Override PartName="/word/charts/style30.xml" ContentType="application/vnd.ms-office.chartstyle+xml"/>
  <Override PartName="/word/charts/style31.xml" ContentType="application/vnd.ms-office.chartstyle+xml"/>
  <Override PartName="/word/charts/style32.xml" ContentType="application/vnd.ms-office.chartstyle+xml"/>
  <Override PartName="/word/charts/style33.xml" ContentType="application/vnd.ms-office.chartstyle+xml"/>
  <Override PartName="/word/charts/style34.xml" ContentType="application/vnd.ms-office.chartstyle+xml"/>
  <Override PartName="/word/charts/style35.xml" ContentType="application/vnd.ms-office.chartstyle+xml"/>
  <Override PartName="/word/charts/style36.xml" ContentType="application/vnd.ms-office.chartstyle+xml"/>
  <Override PartName="/word/charts/style37.xml" ContentType="application/vnd.ms-office.chartstyle+xml"/>
  <Override PartName="/word/charts/style38.xml" ContentType="application/vnd.ms-office.chartstyle+xml"/>
  <Override PartName="/word/charts/style39.xml" ContentType="application/vnd.ms-office.chartstyle+xml"/>
  <Override PartName="/word/charts/style4.xml" ContentType="application/vnd.ms-office.chartstyle+xml"/>
  <Override PartName="/word/charts/style40.xml" ContentType="application/vnd.ms-office.chartstyle+xml"/>
  <Override PartName="/word/charts/style41.xml" ContentType="application/vnd.ms-office.chartstyle+xml"/>
  <Override PartName="/word/charts/style42.xml" ContentType="application/vnd.ms-office.chartstyle+xml"/>
  <Override PartName="/word/charts/style43.xml" ContentType="application/vnd.ms-office.chartstyle+xml"/>
  <Override PartName="/word/charts/style44.xml" ContentType="application/vnd.ms-office.chartstyle+xml"/>
  <Override PartName="/word/charts/style45.xml" ContentType="application/vnd.ms-office.chartstyle+xml"/>
  <Override PartName="/word/charts/style46.xml" ContentType="application/vnd.ms-office.chartstyle+xml"/>
  <Override PartName="/word/charts/style47.xml" ContentType="application/vnd.ms-office.chartstyle+xml"/>
  <Override PartName="/word/charts/style48.xml" ContentType="application/vnd.ms-office.chartstyle+xml"/>
  <Override PartName="/word/charts/style49.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黑体" w:hAnsi="黑体" w:eastAsia="黑体" w:cs="黑体"/>
          <w:sz w:val="32"/>
          <w:szCs w:val="32"/>
          <w:lang w:val="en-US" w:eastAsia="zh-CN"/>
        </w:rPr>
      </w:pPr>
      <w:bookmarkStart w:id="21" w:name="_GoBack"/>
      <w:bookmarkEnd w:id="21"/>
    </w:p>
    <w:p>
      <w:pPr>
        <w:numPr>
          <w:ilvl w:val="0"/>
          <w:numId w:val="0"/>
        </w:numPr>
        <w:rPr>
          <w:rFonts w:hint="eastAsia" w:ascii="黑体" w:hAnsi="黑体" w:eastAsia="黑体" w:cs="黑体"/>
          <w:sz w:val="32"/>
          <w:szCs w:val="32"/>
          <w:lang w:val="en-US" w:eastAsia="zh-CN"/>
        </w:rPr>
      </w:pPr>
    </w:p>
    <w:p>
      <w:pPr>
        <w:numPr>
          <w:ilvl w:val="0"/>
          <w:numId w:val="0"/>
        </w:numPr>
        <w:jc w:val="center"/>
        <w:rPr>
          <w:rFonts w:hint="eastAsia" w:ascii="方正小标宋简体" w:hAnsi="方正小标宋简体" w:eastAsia="方正小标宋简体" w:cs="方正小标宋简体"/>
          <w:sz w:val="44"/>
          <w:szCs w:val="44"/>
          <w:lang w:val="en-US" w:eastAsia="zh-CN"/>
        </w:rPr>
      </w:pPr>
    </w:p>
    <w:p>
      <w:pPr>
        <w:numPr>
          <w:ilvl w:val="0"/>
          <w:numId w:val="0"/>
        </w:numPr>
        <w:jc w:val="center"/>
        <w:rPr>
          <w:rFonts w:hint="eastAsia" w:ascii="方正小标宋简体" w:hAnsi="方正小标宋简体" w:eastAsia="方正小标宋简体" w:cs="方正小标宋简体"/>
          <w:sz w:val="44"/>
          <w:szCs w:val="44"/>
          <w:lang w:val="en-US" w:eastAsia="zh-CN"/>
        </w:rPr>
      </w:pPr>
    </w:p>
    <w:p>
      <w:pPr>
        <w:numPr>
          <w:ilvl w:val="0"/>
          <w:numId w:val="0"/>
        </w:numPr>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2021年中国城市建设状况公报</w:t>
      </w:r>
    </w:p>
    <w:p>
      <w:pPr>
        <w:numPr>
          <w:ilvl w:val="0"/>
          <w:numId w:val="0"/>
        </w:numPr>
        <w:jc w:val="center"/>
        <w:rPr>
          <w:rFonts w:hint="eastAsia" w:ascii="仿宋_GB2312" w:hAnsi="仿宋_GB2312" w:eastAsia="仿宋_GB2312" w:cs="仿宋_GB2312"/>
          <w:b w:val="0"/>
          <w:bCs w:val="0"/>
          <w:sz w:val="36"/>
          <w:szCs w:val="36"/>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住房和城乡建设部</w:t>
      </w: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目录</w:t>
      </w:r>
    </w:p>
    <w:sdt>
      <w:sdtPr>
        <w:rPr>
          <w:rFonts w:ascii="宋体" w:hAnsi="宋体" w:eastAsia="宋体" w:cstheme="minorBidi"/>
          <w:kern w:val="2"/>
          <w:sz w:val="21"/>
          <w:szCs w:val="24"/>
          <w:lang w:val="en-US" w:eastAsia="zh-CN" w:bidi="ar-SA"/>
        </w:rPr>
        <w:id w:val="147451981"/>
        <w15:color w:val="DBDBDB"/>
        <w:docPartObj>
          <w:docPartGallery w:val="Table of Contents"/>
          <w:docPartUnique/>
        </w:docPartObj>
      </w:sdtPr>
      <w:sdtEndPr>
        <w:rPr>
          <w:rFonts w:hint="eastAsia" w:ascii="宋体" w:hAnsi="宋体" w:eastAsia="宋体" w:cs="宋体"/>
          <w:b/>
          <w:kern w:val="2"/>
          <w:sz w:val="24"/>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b w:val="0"/>
              <w:bCs w:val="0"/>
              <w:sz w:val="24"/>
              <w:szCs w:val="24"/>
            </w:rPr>
          </w:pPr>
          <w:r>
            <w:rPr>
              <w:rFonts w:hint="default" w:ascii="Times New Roman" w:hAnsi="Times New Roman" w:eastAsia="楷体" w:cs="Times New Roman"/>
              <w:b w:val="0"/>
              <w:bCs w:val="0"/>
              <w:sz w:val="24"/>
              <w:szCs w:val="24"/>
              <w:lang w:val="en-US" w:eastAsia="zh-CN"/>
            </w:rPr>
            <w:fldChar w:fldCharType="begin"/>
          </w:r>
          <w:r>
            <w:rPr>
              <w:rFonts w:hint="default" w:ascii="Times New Roman" w:hAnsi="Times New Roman" w:eastAsia="楷体" w:cs="Times New Roman"/>
              <w:b w:val="0"/>
              <w:bCs w:val="0"/>
              <w:sz w:val="24"/>
              <w:szCs w:val="24"/>
              <w:lang w:val="en-US" w:eastAsia="zh-CN"/>
            </w:rPr>
            <w:instrText xml:space="preserve">TOC \o "1-2" \h \u </w:instrText>
          </w:r>
          <w:r>
            <w:rPr>
              <w:rFonts w:hint="default" w:ascii="Times New Roman" w:hAnsi="Times New Roman" w:eastAsia="楷体" w:cs="Times New Roman"/>
              <w:b w:val="0"/>
              <w:bCs w:val="0"/>
              <w:sz w:val="24"/>
              <w:szCs w:val="24"/>
              <w:lang w:val="en-US" w:eastAsia="zh-CN"/>
            </w:rPr>
            <w:fldChar w:fldCharType="separate"/>
          </w:r>
          <w:r>
            <w:rPr>
              <w:rFonts w:hint="default" w:ascii="Times New Roman" w:hAnsi="Times New Roman" w:eastAsia="黑体" w:cs="Times New Roman"/>
              <w:b w:val="0"/>
              <w:bCs w:val="0"/>
              <w:sz w:val="24"/>
              <w:szCs w:val="24"/>
              <w:lang w:val="en-US" w:eastAsia="zh-CN"/>
            </w:rPr>
            <w:fldChar w:fldCharType="begin"/>
          </w:r>
          <w:r>
            <w:rPr>
              <w:rFonts w:hint="default" w:ascii="Times New Roman" w:hAnsi="Times New Roman" w:eastAsia="黑体" w:cs="Times New Roman"/>
              <w:b w:val="0"/>
              <w:bCs w:val="0"/>
              <w:sz w:val="24"/>
              <w:szCs w:val="24"/>
              <w:lang w:val="en-US" w:eastAsia="zh-CN"/>
            </w:rPr>
            <w:instrText xml:space="preserve"> HYPERLINK \l _Toc12428 </w:instrText>
          </w:r>
          <w:r>
            <w:rPr>
              <w:rFonts w:hint="default" w:ascii="Times New Roman" w:hAnsi="Times New Roman" w:eastAsia="黑体" w:cs="Times New Roman"/>
              <w:b w:val="0"/>
              <w:bCs w:val="0"/>
              <w:sz w:val="24"/>
              <w:szCs w:val="24"/>
              <w:lang w:val="en-US" w:eastAsia="zh-CN"/>
            </w:rPr>
            <w:fldChar w:fldCharType="separate"/>
          </w:r>
          <w:r>
            <w:rPr>
              <w:rFonts w:hint="default" w:ascii="Times New Roman" w:hAnsi="Times New Roman" w:eastAsia="黑体" w:cs="Times New Roman"/>
              <w:b w:val="0"/>
              <w:bCs w:val="0"/>
              <w:sz w:val="24"/>
              <w:szCs w:val="24"/>
              <w:lang w:val="en-US" w:eastAsia="zh-CN"/>
            </w:rPr>
            <w:t>概述</w:t>
          </w:r>
          <w:r>
            <w:rPr>
              <w:rFonts w:hint="default" w:ascii="Times New Roman" w:hAnsi="Times New Roman" w:eastAsia="黑体" w:cs="Times New Roman"/>
              <w:b w:val="0"/>
              <w:bCs w:val="0"/>
              <w:sz w:val="24"/>
              <w:szCs w:val="24"/>
            </w:rPr>
            <w:tab/>
          </w:r>
          <w:r>
            <w:rPr>
              <w:rFonts w:hint="default" w:ascii="Times New Roman" w:hAnsi="Times New Roman" w:eastAsia="黑体" w:cs="Times New Roman"/>
              <w:b w:val="0"/>
              <w:bCs w:val="0"/>
              <w:sz w:val="24"/>
              <w:szCs w:val="24"/>
            </w:rPr>
            <w:fldChar w:fldCharType="begin"/>
          </w:r>
          <w:r>
            <w:rPr>
              <w:rFonts w:hint="default" w:ascii="Times New Roman" w:hAnsi="Times New Roman" w:eastAsia="黑体" w:cs="Times New Roman"/>
              <w:b w:val="0"/>
              <w:bCs w:val="0"/>
              <w:sz w:val="24"/>
              <w:szCs w:val="24"/>
            </w:rPr>
            <w:instrText xml:space="preserve"> PAGEREF _Toc12428 \h </w:instrText>
          </w:r>
          <w:r>
            <w:rPr>
              <w:rFonts w:hint="default" w:ascii="Times New Roman" w:hAnsi="Times New Roman" w:eastAsia="黑体" w:cs="Times New Roman"/>
              <w:b w:val="0"/>
              <w:bCs w:val="0"/>
              <w:sz w:val="24"/>
              <w:szCs w:val="24"/>
            </w:rPr>
            <w:fldChar w:fldCharType="separate"/>
          </w:r>
          <w:r>
            <w:rPr>
              <w:rFonts w:hint="default" w:ascii="Times New Roman" w:hAnsi="Times New Roman" w:eastAsia="黑体" w:cs="Times New Roman"/>
              <w:b w:val="0"/>
              <w:bCs w:val="0"/>
              <w:sz w:val="24"/>
              <w:szCs w:val="24"/>
            </w:rPr>
            <w:t>1</w:t>
          </w:r>
          <w:r>
            <w:rPr>
              <w:rFonts w:hint="default" w:ascii="Times New Roman" w:hAnsi="Times New Roman" w:eastAsia="黑体" w:cs="Times New Roman"/>
              <w:b w:val="0"/>
              <w:bCs w:val="0"/>
              <w:sz w:val="24"/>
              <w:szCs w:val="24"/>
            </w:rPr>
            <w:fldChar w:fldCharType="end"/>
          </w:r>
          <w:r>
            <w:rPr>
              <w:rFonts w:hint="default" w:ascii="Times New Roman" w:hAnsi="Times New Roman" w:eastAsia="黑体" w:cs="Times New Roman"/>
              <w:b w:val="0"/>
              <w:bCs w:val="0"/>
              <w:sz w:val="24"/>
              <w:szCs w:val="24"/>
              <w:lang w:val="en-US" w:eastAsia="zh-CN"/>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lang w:val="en-US" w:eastAsia="zh-CN"/>
            </w:rPr>
            <w:fldChar w:fldCharType="begin"/>
          </w:r>
          <w:r>
            <w:rPr>
              <w:rFonts w:hint="default" w:ascii="Times New Roman" w:hAnsi="Times New Roman" w:eastAsia="黑体" w:cs="Times New Roman"/>
              <w:b w:val="0"/>
              <w:bCs w:val="0"/>
              <w:sz w:val="24"/>
              <w:szCs w:val="24"/>
              <w:lang w:val="en-US" w:eastAsia="zh-CN"/>
            </w:rPr>
            <w:instrText xml:space="preserve"> HYPERLINK \l _Toc5455 </w:instrText>
          </w:r>
          <w:r>
            <w:rPr>
              <w:rFonts w:hint="default" w:ascii="Times New Roman" w:hAnsi="Times New Roman" w:eastAsia="黑体" w:cs="Times New Roman"/>
              <w:b w:val="0"/>
              <w:bCs w:val="0"/>
              <w:sz w:val="24"/>
              <w:szCs w:val="24"/>
              <w:lang w:val="en-US" w:eastAsia="zh-CN"/>
            </w:rPr>
            <w:fldChar w:fldCharType="separate"/>
          </w:r>
          <w:r>
            <w:rPr>
              <w:rFonts w:hint="default" w:ascii="Times New Roman" w:hAnsi="Times New Roman" w:eastAsia="黑体" w:cs="Times New Roman"/>
              <w:b w:val="0"/>
              <w:bCs w:val="0"/>
              <w:sz w:val="24"/>
              <w:szCs w:val="24"/>
              <w:lang w:val="en-US" w:eastAsia="zh-CN"/>
            </w:rPr>
            <w:t>一、城市基本情况</w:t>
          </w:r>
          <w:r>
            <w:rPr>
              <w:rFonts w:hint="default" w:ascii="Times New Roman" w:hAnsi="Times New Roman" w:eastAsia="黑体" w:cs="Times New Roman"/>
              <w:b w:val="0"/>
              <w:bCs w:val="0"/>
              <w:sz w:val="24"/>
              <w:szCs w:val="24"/>
            </w:rPr>
            <w:tab/>
          </w:r>
          <w:r>
            <w:rPr>
              <w:rFonts w:hint="default" w:ascii="Times New Roman" w:hAnsi="Times New Roman" w:eastAsia="黑体" w:cs="Times New Roman"/>
              <w:b w:val="0"/>
              <w:bCs w:val="0"/>
              <w:sz w:val="24"/>
              <w:szCs w:val="24"/>
            </w:rPr>
            <w:fldChar w:fldCharType="begin"/>
          </w:r>
          <w:r>
            <w:rPr>
              <w:rFonts w:hint="default" w:ascii="Times New Roman" w:hAnsi="Times New Roman" w:eastAsia="黑体" w:cs="Times New Roman"/>
              <w:b w:val="0"/>
              <w:bCs w:val="0"/>
              <w:sz w:val="24"/>
              <w:szCs w:val="24"/>
            </w:rPr>
            <w:instrText xml:space="preserve"> PAGEREF _Toc5455 \h </w:instrText>
          </w:r>
          <w:r>
            <w:rPr>
              <w:rFonts w:hint="default" w:ascii="Times New Roman" w:hAnsi="Times New Roman" w:eastAsia="黑体" w:cs="Times New Roman"/>
              <w:b w:val="0"/>
              <w:bCs w:val="0"/>
              <w:sz w:val="24"/>
              <w:szCs w:val="24"/>
            </w:rPr>
            <w:fldChar w:fldCharType="separate"/>
          </w:r>
          <w:r>
            <w:rPr>
              <w:rFonts w:hint="default" w:ascii="Times New Roman" w:hAnsi="Times New Roman" w:eastAsia="黑体" w:cs="Times New Roman"/>
              <w:b w:val="0"/>
              <w:bCs w:val="0"/>
              <w:sz w:val="24"/>
              <w:szCs w:val="24"/>
            </w:rPr>
            <w:t>3</w:t>
          </w:r>
          <w:r>
            <w:rPr>
              <w:rFonts w:hint="default" w:ascii="Times New Roman" w:hAnsi="Times New Roman" w:eastAsia="黑体" w:cs="Times New Roman"/>
              <w:b w:val="0"/>
              <w:bCs w:val="0"/>
              <w:sz w:val="24"/>
              <w:szCs w:val="24"/>
            </w:rPr>
            <w:fldChar w:fldCharType="end"/>
          </w:r>
          <w:r>
            <w:rPr>
              <w:rFonts w:hint="default" w:ascii="Times New Roman" w:hAnsi="Times New Roman" w:eastAsia="黑体" w:cs="Times New Roman"/>
              <w:b w:val="0"/>
              <w:bCs w:val="0"/>
              <w:sz w:val="24"/>
              <w:szCs w:val="24"/>
              <w:lang w:val="en-US" w:eastAsia="zh-CN"/>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lang w:val="en-US" w:eastAsia="zh-CN"/>
            </w:rPr>
            <w:fldChar w:fldCharType="begin"/>
          </w:r>
          <w:r>
            <w:rPr>
              <w:rFonts w:hint="default" w:ascii="Times New Roman" w:hAnsi="Times New Roman" w:eastAsia="楷体" w:cs="Times New Roman"/>
              <w:b w:val="0"/>
              <w:bCs w:val="0"/>
              <w:sz w:val="24"/>
              <w:szCs w:val="24"/>
              <w:lang w:val="en-US" w:eastAsia="zh-CN"/>
            </w:rPr>
            <w:instrText xml:space="preserve"> HYPERLINK \l _Toc12813 </w:instrText>
          </w:r>
          <w:r>
            <w:rPr>
              <w:rFonts w:hint="default" w:ascii="Times New Roman" w:hAnsi="Times New Roman" w:eastAsia="楷体" w:cs="Times New Roman"/>
              <w:b w:val="0"/>
              <w:bCs w:val="0"/>
              <w:sz w:val="24"/>
              <w:szCs w:val="24"/>
              <w:lang w:val="en-US" w:eastAsia="zh-CN"/>
            </w:rPr>
            <w:fldChar w:fldCharType="separate"/>
          </w:r>
          <w:r>
            <w:rPr>
              <w:rFonts w:hint="default" w:ascii="Times New Roman" w:hAnsi="Times New Roman" w:eastAsia="楷体" w:cs="Times New Roman"/>
              <w:b w:val="0"/>
              <w:bCs w:val="0"/>
              <w:sz w:val="24"/>
              <w:szCs w:val="24"/>
              <w:lang w:val="en-US" w:eastAsia="zh-CN"/>
            </w:rPr>
            <w:t>（一）城市建成区面积</w:t>
          </w:r>
          <w:r>
            <w:rPr>
              <w:rFonts w:hint="default" w:ascii="Times New Roman" w:hAnsi="Times New Roman" w:eastAsia="楷体" w:cs="Times New Roman"/>
              <w:b w:val="0"/>
              <w:bCs w:val="0"/>
              <w:sz w:val="24"/>
              <w:szCs w:val="24"/>
            </w:rPr>
            <w:tab/>
          </w:r>
          <w:r>
            <w:rPr>
              <w:rFonts w:hint="default" w:ascii="Times New Roman" w:hAnsi="Times New Roman" w:eastAsia="楷体" w:cs="Times New Roman"/>
              <w:b w:val="0"/>
              <w:bCs w:val="0"/>
              <w:sz w:val="24"/>
              <w:szCs w:val="24"/>
            </w:rPr>
            <w:fldChar w:fldCharType="begin"/>
          </w:r>
          <w:r>
            <w:rPr>
              <w:rFonts w:hint="default" w:ascii="Times New Roman" w:hAnsi="Times New Roman" w:eastAsia="楷体" w:cs="Times New Roman"/>
              <w:b w:val="0"/>
              <w:bCs w:val="0"/>
              <w:sz w:val="24"/>
              <w:szCs w:val="24"/>
            </w:rPr>
            <w:instrText xml:space="preserve"> PAGEREF _Toc12813 \h </w:instrText>
          </w:r>
          <w:r>
            <w:rPr>
              <w:rFonts w:hint="default" w:ascii="Times New Roman" w:hAnsi="Times New Roman" w:eastAsia="楷体" w:cs="Times New Roman"/>
              <w:b w:val="0"/>
              <w:bCs w:val="0"/>
              <w:sz w:val="24"/>
              <w:szCs w:val="24"/>
            </w:rPr>
            <w:fldChar w:fldCharType="separate"/>
          </w:r>
          <w:r>
            <w:rPr>
              <w:rFonts w:hint="default" w:ascii="Times New Roman" w:hAnsi="Times New Roman" w:eastAsia="楷体" w:cs="Times New Roman"/>
              <w:b w:val="0"/>
              <w:bCs w:val="0"/>
              <w:sz w:val="24"/>
              <w:szCs w:val="24"/>
            </w:rPr>
            <w:t>3</w:t>
          </w:r>
          <w:r>
            <w:rPr>
              <w:rFonts w:hint="default" w:ascii="Times New Roman" w:hAnsi="Times New Roman" w:eastAsia="楷体" w:cs="Times New Roman"/>
              <w:b w:val="0"/>
              <w:bCs w:val="0"/>
              <w:sz w:val="24"/>
              <w:szCs w:val="24"/>
            </w:rPr>
            <w:fldChar w:fldCharType="end"/>
          </w:r>
          <w:r>
            <w:rPr>
              <w:rFonts w:hint="default" w:ascii="Times New Roman" w:hAnsi="Times New Roman" w:eastAsia="楷体" w:cs="Times New Roman"/>
              <w:b w:val="0"/>
              <w:bCs w:val="0"/>
              <w:sz w:val="24"/>
              <w:szCs w:val="24"/>
              <w:lang w:val="en-US" w:eastAsia="zh-CN"/>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lang w:val="en-US" w:eastAsia="zh-CN"/>
            </w:rPr>
            <w:fldChar w:fldCharType="begin"/>
          </w:r>
          <w:r>
            <w:rPr>
              <w:rFonts w:hint="default" w:ascii="Times New Roman" w:hAnsi="Times New Roman" w:eastAsia="楷体" w:cs="Times New Roman"/>
              <w:b w:val="0"/>
              <w:bCs w:val="0"/>
              <w:sz w:val="24"/>
              <w:szCs w:val="24"/>
              <w:lang w:val="en-US" w:eastAsia="zh-CN"/>
            </w:rPr>
            <w:instrText xml:space="preserve"> HYPERLINK \l _Toc1457 </w:instrText>
          </w:r>
          <w:r>
            <w:rPr>
              <w:rFonts w:hint="default" w:ascii="Times New Roman" w:hAnsi="Times New Roman" w:eastAsia="楷体" w:cs="Times New Roman"/>
              <w:b w:val="0"/>
              <w:bCs w:val="0"/>
              <w:sz w:val="24"/>
              <w:szCs w:val="24"/>
              <w:lang w:val="en-US" w:eastAsia="zh-CN"/>
            </w:rPr>
            <w:fldChar w:fldCharType="separate"/>
          </w:r>
          <w:r>
            <w:rPr>
              <w:rFonts w:hint="default" w:ascii="Times New Roman" w:hAnsi="Times New Roman" w:eastAsia="楷体" w:cs="Times New Roman"/>
              <w:b w:val="0"/>
              <w:bCs w:val="0"/>
              <w:sz w:val="24"/>
              <w:szCs w:val="24"/>
              <w:lang w:val="en-US" w:eastAsia="zh-CN"/>
            </w:rPr>
            <w:t>（二）城市城区人口</w:t>
          </w:r>
          <w:r>
            <w:rPr>
              <w:rFonts w:hint="default" w:ascii="Times New Roman" w:hAnsi="Times New Roman" w:eastAsia="楷体" w:cs="Times New Roman"/>
              <w:b w:val="0"/>
              <w:bCs w:val="0"/>
              <w:sz w:val="24"/>
              <w:szCs w:val="24"/>
            </w:rPr>
            <w:tab/>
          </w:r>
          <w:r>
            <w:rPr>
              <w:rFonts w:hint="default" w:ascii="Times New Roman" w:hAnsi="Times New Roman" w:eastAsia="楷体" w:cs="Times New Roman"/>
              <w:b w:val="0"/>
              <w:bCs w:val="0"/>
              <w:sz w:val="24"/>
              <w:szCs w:val="24"/>
            </w:rPr>
            <w:fldChar w:fldCharType="begin"/>
          </w:r>
          <w:r>
            <w:rPr>
              <w:rFonts w:hint="default" w:ascii="Times New Roman" w:hAnsi="Times New Roman" w:eastAsia="楷体" w:cs="Times New Roman"/>
              <w:b w:val="0"/>
              <w:bCs w:val="0"/>
              <w:sz w:val="24"/>
              <w:szCs w:val="24"/>
            </w:rPr>
            <w:instrText xml:space="preserve"> PAGEREF _Toc1457 \h </w:instrText>
          </w:r>
          <w:r>
            <w:rPr>
              <w:rFonts w:hint="default" w:ascii="Times New Roman" w:hAnsi="Times New Roman" w:eastAsia="楷体" w:cs="Times New Roman"/>
              <w:b w:val="0"/>
              <w:bCs w:val="0"/>
              <w:sz w:val="24"/>
              <w:szCs w:val="24"/>
            </w:rPr>
            <w:fldChar w:fldCharType="separate"/>
          </w:r>
          <w:r>
            <w:rPr>
              <w:rFonts w:hint="default" w:ascii="Times New Roman" w:hAnsi="Times New Roman" w:eastAsia="楷体" w:cs="Times New Roman"/>
              <w:b w:val="0"/>
              <w:bCs w:val="0"/>
              <w:sz w:val="24"/>
              <w:szCs w:val="24"/>
            </w:rPr>
            <w:t>4</w:t>
          </w:r>
          <w:r>
            <w:rPr>
              <w:rFonts w:hint="default" w:ascii="Times New Roman" w:hAnsi="Times New Roman" w:eastAsia="楷体" w:cs="Times New Roman"/>
              <w:b w:val="0"/>
              <w:bCs w:val="0"/>
              <w:sz w:val="24"/>
              <w:szCs w:val="24"/>
            </w:rPr>
            <w:fldChar w:fldCharType="end"/>
          </w:r>
          <w:r>
            <w:rPr>
              <w:rFonts w:hint="default" w:ascii="Times New Roman" w:hAnsi="Times New Roman" w:eastAsia="楷体" w:cs="Times New Roman"/>
              <w:b w:val="0"/>
              <w:bCs w:val="0"/>
              <w:sz w:val="24"/>
              <w:szCs w:val="24"/>
              <w:lang w:val="en-US" w:eastAsia="zh-CN"/>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lang w:val="en-US" w:eastAsia="zh-CN"/>
            </w:rPr>
            <w:fldChar w:fldCharType="begin"/>
          </w:r>
          <w:r>
            <w:rPr>
              <w:rFonts w:hint="default" w:ascii="Times New Roman" w:hAnsi="Times New Roman" w:eastAsia="黑体" w:cs="Times New Roman"/>
              <w:b w:val="0"/>
              <w:bCs w:val="0"/>
              <w:sz w:val="24"/>
              <w:szCs w:val="24"/>
              <w:lang w:val="en-US" w:eastAsia="zh-CN"/>
            </w:rPr>
            <w:instrText xml:space="preserve"> HYPERLINK \l _Toc11354 </w:instrText>
          </w:r>
          <w:r>
            <w:rPr>
              <w:rFonts w:hint="default" w:ascii="Times New Roman" w:hAnsi="Times New Roman" w:eastAsia="黑体" w:cs="Times New Roman"/>
              <w:b w:val="0"/>
              <w:bCs w:val="0"/>
              <w:sz w:val="24"/>
              <w:szCs w:val="24"/>
              <w:lang w:val="en-US" w:eastAsia="zh-CN"/>
            </w:rPr>
            <w:fldChar w:fldCharType="separate"/>
          </w:r>
          <w:r>
            <w:rPr>
              <w:rFonts w:hint="default" w:ascii="Times New Roman" w:hAnsi="Times New Roman" w:eastAsia="黑体" w:cs="Times New Roman"/>
              <w:b w:val="0"/>
              <w:bCs w:val="0"/>
              <w:sz w:val="24"/>
              <w:szCs w:val="24"/>
              <w:lang w:val="en-US" w:eastAsia="zh-CN"/>
            </w:rPr>
            <w:t>二、市政设施固定资产投资</w:t>
          </w:r>
          <w:r>
            <w:rPr>
              <w:rFonts w:hint="default" w:ascii="Times New Roman" w:hAnsi="Times New Roman" w:eastAsia="黑体" w:cs="Times New Roman"/>
              <w:b w:val="0"/>
              <w:bCs w:val="0"/>
              <w:sz w:val="24"/>
              <w:szCs w:val="24"/>
            </w:rPr>
            <w:tab/>
          </w:r>
          <w:r>
            <w:rPr>
              <w:rFonts w:hint="default" w:ascii="Times New Roman" w:hAnsi="Times New Roman" w:eastAsia="黑体" w:cs="Times New Roman"/>
              <w:b w:val="0"/>
              <w:bCs w:val="0"/>
              <w:sz w:val="24"/>
              <w:szCs w:val="24"/>
            </w:rPr>
            <w:fldChar w:fldCharType="begin"/>
          </w:r>
          <w:r>
            <w:rPr>
              <w:rFonts w:hint="default" w:ascii="Times New Roman" w:hAnsi="Times New Roman" w:eastAsia="黑体" w:cs="Times New Roman"/>
              <w:b w:val="0"/>
              <w:bCs w:val="0"/>
              <w:sz w:val="24"/>
              <w:szCs w:val="24"/>
            </w:rPr>
            <w:instrText xml:space="preserve"> PAGEREF _Toc11354 \h </w:instrText>
          </w:r>
          <w:r>
            <w:rPr>
              <w:rFonts w:hint="default" w:ascii="Times New Roman" w:hAnsi="Times New Roman" w:eastAsia="黑体" w:cs="Times New Roman"/>
              <w:b w:val="0"/>
              <w:bCs w:val="0"/>
              <w:sz w:val="24"/>
              <w:szCs w:val="24"/>
            </w:rPr>
            <w:fldChar w:fldCharType="separate"/>
          </w:r>
          <w:r>
            <w:rPr>
              <w:rFonts w:hint="default" w:ascii="Times New Roman" w:hAnsi="Times New Roman" w:eastAsia="黑体" w:cs="Times New Roman"/>
              <w:b w:val="0"/>
              <w:bCs w:val="0"/>
              <w:sz w:val="24"/>
              <w:szCs w:val="24"/>
            </w:rPr>
            <w:t>5</w:t>
          </w:r>
          <w:r>
            <w:rPr>
              <w:rFonts w:hint="default" w:ascii="Times New Roman" w:hAnsi="Times New Roman" w:eastAsia="黑体" w:cs="Times New Roman"/>
              <w:b w:val="0"/>
              <w:bCs w:val="0"/>
              <w:sz w:val="24"/>
              <w:szCs w:val="24"/>
            </w:rPr>
            <w:fldChar w:fldCharType="end"/>
          </w:r>
          <w:r>
            <w:rPr>
              <w:rFonts w:hint="default" w:ascii="Times New Roman" w:hAnsi="Times New Roman" w:eastAsia="黑体" w:cs="Times New Roman"/>
              <w:b w:val="0"/>
              <w:bCs w:val="0"/>
              <w:sz w:val="24"/>
              <w:szCs w:val="24"/>
              <w:lang w:val="en-US" w:eastAsia="zh-CN"/>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lang w:val="en-US" w:eastAsia="zh-CN"/>
            </w:rPr>
            <w:fldChar w:fldCharType="begin"/>
          </w:r>
          <w:r>
            <w:rPr>
              <w:rFonts w:hint="default" w:ascii="Times New Roman" w:hAnsi="Times New Roman" w:eastAsia="楷体" w:cs="Times New Roman"/>
              <w:b w:val="0"/>
              <w:bCs w:val="0"/>
              <w:sz w:val="24"/>
              <w:szCs w:val="24"/>
              <w:lang w:val="en-US" w:eastAsia="zh-CN"/>
            </w:rPr>
            <w:instrText xml:space="preserve"> HYPERLINK \l _Toc13838 </w:instrText>
          </w:r>
          <w:r>
            <w:rPr>
              <w:rFonts w:hint="default" w:ascii="Times New Roman" w:hAnsi="Times New Roman" w:eastAsia="楷体" w:cs="Times New Roman"/>
              <w:b w:val="0"/>
              <w:bCs w:val="0"/>
              <w:sz w:val="24"/>
              <w:szCs w:val="24"/>
              <w:lang w:val="en-US" w:eastAsia="zh-CN"/>
            </w:rPr>
            <w:fldChar w:fldCharType="separate"/>
          </w:r>
          <w:r>
            <w:rPr>
              <w:rFonts w:hint="default" w:ascii="Times New Roman" w:hAnsi="Times New Roman" w:eastAsia="楷体" w:cs="Times New Roman"/>
              <w:b w:val="0"/>
              <w:bCs w:val="0"/>
              <w:sz w:val="24"/>
              <w:szCs w:val="24"/>
              <w:lang w:val="en-US" w:eastAsia="zh-CN"/>
            </w:rPr>
            <w:t>（一）</w:t>
          </w:r>
          <w:r>
            <w:rPr>
              <w:rFonts w:hint="eastAsia" w:ascii="Times New Roman" w:hAnsi="Times New Roman" w:eastAsia="楷体" w:cs="Times New Roman"/>
              <w:b w:val="0"/>
              <w:bCs w:val="0"/>
              <w:sz w:val="24"/>
              <w:szCs w:val="24"/>
              <w:lang w:val="en-US" w:eastAsia="zh-CN"/>
            </w:rPr>
            <w:t>固定资产</w:t>
          </w:r>
          <w:r>
            <w:rPr>
              <w:rFonts w:hint="default" w:ascii="Times New Roman" w:hAnsi="Times New Roman" w:eastAsia="楷体" w:cs="Times New Roman"/>
              <w:b w:val="0"/>
              <w:bCs w:val="0"/>
              <w:sz w:val="24"/>
              <w:szCs w:val="24"/>
              <w:lang w:val="en-US" w:eastAsia="zh-CN"/>
            </w:rPr>
            <w:t>投资额</w:t>
          </w:r>
          <w:r>
            <w:rPr>
              <w:rFonts w:hint="default" w:ascii="Times New Roman" w:hAnsi="Times New Roman" w:eastAsia="楷体" w:cs="Times New Roman"/>
              <w:b w:val="0"/>
              <w:bCs w:val="0"/>
              <w:sz w:val="24"/>
              <w:szCs w:val="24"/>
            </w:rPr>
            <w:tab/>
          </w:r>
          <w:r>
            <w:rPr>
              <w:rFonts w:hint="default" w:ascii="Times New Roman" w:hAnsi="Times New Roman" w:eastAsia="楷体" w:cs="Times New Roman"/>
              <w:b w:val="0"/>
              <w:bCs w:val="0"/>
              <w:sz w:val="24"/>
              <w:szCs w:val="24"/>
            </w:rPr>
            <w:fldChar w:fldCharType="begin"/>
          </w:r>
          <w:r>
            <w:rPr>
              <w:rFonts w:hint="default" w:ascii="Times New Roman" w:hAnsi="Times New Roman" w:eastAsia="楷体" w:cs="Times New Roman"/>
              <w:b w:val="0"/>
              <w:bCs w:val="0"/>
              <w:sz w:val="24"/>
              <w:szCs w:val="24"/>
            </w:rPr>
            <w:instrText xml:space="preserve"> PAGEREF _Toc13838 \h </w:instrText>
          </w:r>
          <w:r>
            <w:rPr>
              <w:rFonts w:hint="default" w:ascii="Times New Roman" w:hAnsi="Times New Roman" w:eastAsia="楷体" w:cs="Times New Roman"/>
              <w:b w:val="0"/>
              <w:bCs w:val="0"/>
              <w:sz w:val="24"/>
              <w:szCs w:val="24"/>
            </w:rPr>
            <w:fldChar w:fldCharType="separate"/>
          </w:r>
          <w:r>
            <w:rPr>
              <w:rFonts w:hint="default" w:ascii="Times New Roman" w:hAnsi="Times New Roman" w:eastAsia="楷体" w:cs="Times New Roman"/>
              <w:b w:val="0"/>
              <w:bCs w:val="0"/>
              <w:sz w:val="24"/>
              <w:szCs w:val="24"/>
            </w:rPr>
            <w:t>5</w:t>
          </w:r>
          <w:r>
            <w:rPr>
              <w:rFonts w:hint="default" w:ascii="Times New Roman" w:hAnsi="Times New Roman" w:eastAsia="楷体" w:cs="Times New Roman"/>
              <w:b w:val="0"/>
              <w:bCs w:val="0"/>
              <w:sz w:val="24"/>
              <w:szCs w:val="24"/>
            </w:rPr>
            <w:fldChar w:fldCharType="end"/>
          </w:r>
          <w:r>
            <w:rPr>
              <w:rFonts w:hint="default" w:ascii="Times New Roman" w:hAnsi="Times New Roman" w:eastAsia="楷体" w:cs="Times New Roman"/>
              <w:b w:val="0"/>
              <w:bCs w:val="0"/>
              <w:sz w:val="24"/>
              <w:szCs w:val="24"/>
              <w:lang w:val="en-US" w:eastAsia="zh-CN"/>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lang w:val="en-US" w:eastAsia="zh-CN"/>
            </w:rPr>
            <w:fldChar w:fldCharType="begin"/>
          </w:r>
          <w:r>
            <w:rPr>
              <w:rFonts w:hint="default" w:ascii="Times New Roman" w:hAnsi="Times New Roman" w:eastAsia="楷体" w:cs="Times New Roman"/>
              <w:b w:val="0"/>
              <w:bCs w:val="0"/>
              <w:sz w:val="24"/>
              <w:szCs w:val="24"/>
              <w:lang w:val="en-US" w:eastAsia="zh-CN"/>
            </w:rPr>
            <w:instrText xml:space="preserve"> HYPERLINK \l _Toc14487 </w:instrText>
          </w:r>
          <w:r>
            <w:rPr>
              <w:rFonts w:hint="default" w:ascii="Times New Roman" w:hAnsi="Times New Roman" w:eastAsia="楷体" w:cs="Times New Roman"/>
              <w:b w:val="0"/>
              <w:bCs w:val="0"/>
              <w:sz w:val="24"/>
              <w:szCs w:val="24"/>
              <w:lang w:val="en-US" w:eastAsia="zh-CN"/>
            </w:rPr>
            <w:fldChar w:fldCharType="separate"/>
          </w:r>
          <w:r>
            <w:rPr>
              <w:rFonts w:hint="default" w:ascii="Times New Roman" w:hAnsi="Times New Roman" w:eastAsia="楷体" w:cs="Times New Roman"/>
              <w:b w:val="0"/>
              <w:bCs w:val="0"/>
              <w:sz w:val="24"/>
              <w:szCs w:val="24"/>
              <w:lang w:val="en-US" w:eastAsia="zh-CN"/>
            </w:rPr>
            <w:t>（二）资金来源</w:t>
          </w:r>
          <w:r>
            <w:rPr>
              <w:rFonts w:hint="default" w:ascii="Times New Roman" w:hAnsi="Times New Roman" w:eastAsia="楷体" w:cs="Times New Roman"/>
              <w:b w:val="0"/>
              <w:bCs w:val="0"/>
              <w:sz w:val="24"/>
              <w:szCs w:val="24"/>
            </w:rPr>
            <w:tab/>
          </w:r>
          <w:r>
            <w:rPr>
              <w:rFonts w:hint="default" w:ascii="Times New Roman" w:hAnsi="Times New Roman" w:eastAsia="楷体" w:cs="Times New Roman"/>
              <w:b w:val="0"/>
              <w:bCs w:val="0"/>
              <w:sz w:val="24"/>
              <w:szCs w:val="24"/>
            </w:rPr>
            <w:fldChar w:fldCharType="begin"/>
          </w:r>
          <w:r>
            <w:rPr>
              <w:rFonts w:hint="default" w:ascii="Times New Roman" w:hAnsi="Times New Roman" w:eastAsia="楷体" w:cs="Times New Roman"/>
              <w:b w:val="0"/>
              <w:bCs w:val="0"/>
              <w:sz w:val="24"/>
              <w:szCs w:val="24"/>
            </w:rPr>
            <w:instrText xml:space="preserve"> PAGEREF _Toc14487 \h </w:instrText>
          </w:r>
          <w:r>
            <w:rPr>
              <w:rFonts w:hint="default" w:ascii="Times New Roman" w:hAnsi="Times New Roman" w:eastAsia="楷体" w:cs="Times New Roman"/>
              <w:b w:val="0"/>
              <w:bCs w:val="0"/>
              <w:sz w:val="24"/>
              <w:szCs w:val="24"/>
            </w:rPr>
            <w:fldChar w:fldCharType="separate"/>
          </w:r>
          <w:r>
            <w:rPr>
              <w:rFonts w:hint="default" w:ascii="Times New Roman" w:hAnsi="Times New Roman" w:eastAsia="楷体" w:cs="Times New Roman"/>
              <w:b w:val="0"/>
              <w:bCs w:val="0"/>
              <w:sz w:val="24"/>
              <w:szCs w:val="24"/>
            </w:rPr>
            <w:t>6</w:t>
          </w:r>
          <w:r>
            <w:rPr>
              <w:rFonts w:hint="default" w:ascii="Times New Roman" w:hAnsi="Times New Roman" w:eastAsia="楷体" w:cs="Times New Roman"/>
              <w:b w:val="0"/>
              <w:bCs w:val="0"/>
              <w:sz w:val="24"/>
              <w:szCs w:val="24"/>
            </w:rPr>
            <w:fldChar w:fldCharType="end"/>
          </w:r>
          <w:r>
            <w:rPr>
              <w:rFonts w:hint="default" w:ascii="Times New Roman" w:hAnsi="Times New Roman" w:eastAsia="楷体" w:cs="Times New Roman"/>
              <w:b w:val="0"/>
              <w:bCs w:val="0"/>
              <w:sz w:val="24"/>
              <w:szCs w:val="24"/>
              <w:lang w:val="en-US" w:eastAsia="zh-CN"/>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b w:val="0"/>
              <w:bCs w:val="0"/>
              <w:sz w:val="24"/>
              <w:szCs w:val="24"/>
            </w:rPr>
          </w:pPr>
          <w:r>
            <w:rPr>
              <w:rFonts w:hint="default" w:ascii="Times New Roman" w:hAnsi="Times New Roman" w:eastAsia="黑体" w:cs="Times New Roman"/>
              <w:b w:val="0"/>
              <w:bCs w:val="0"/>
              <w:sz w:val="24"/>
              <w:szCs w:val="24"/>
              <w:lang w:val="en-US" w:eastAsia="zh-CN"/>
            </w:rPr>
            <w:fldChar w:fldCharType="begin"/>
          </w:r>
          <w:r>
            <w:rPr>
              <w:rFonts w:hint="default" w:ascii="Times New Roman" w:hAnsi="Times New Roman" w:eastAsia="黑体" w:cs="Times New Roman"/>
              <w:b w:val="0"/>
              <w:bCs w:val="0"/>
              <w:sz w:val="24"/>
              <w:szCs w:val="24"/>
              <w:lang w:val="en-US" w:eastAsia="zh-CN"/>
            </w:rPr>
            <w:instrText xml:space="preserve"> HYPERLINK \l _Toc18429 </w:instrText>
          </w:r>
          <w:r>
            <w:rPr>
              <w:rFonts w:hint="default" w:ascii="Times New Roman" w:hAnsi="Times New Roman" w:eastAsia="黑体" w:cs="Times New Roman"/>
              <w:b w:val="0"/>
              <w:bCs w:val="0"/>
              <w:sz w:val="24"/>
              <w:szCs w:val="24"/>
              <w:lang w:val="en-US" w:eastAsia="zh-CN"/>
            </w:rPr>
            <w:fldChar w:fldCharType="separate"/>
          </w:r>
          <w:r>
            <w:rPr>
              <w:rFonts w:hint="default" w:ascii="Times New Roman" w:hAnsi="Times New Roman" w:eastAsia="黑体" w:cs="Times New Roman"/>
              <w:b w:val="0"/>
              <w:bCs w:val="0"/>
              <w:sz w:val="24"/>
              <w:szCs w:val="24"/>
              <w:lang w:val="en-US" w:eastAsia="zh-CN"/>
            </w:rPr>
            <w:t>三、城市居民生活需求</w:t>
          </w:r>
          <w:r>
            <w:rPr>
              <w:rFonts w:hint="default" w:ascii="Times New Roman" w:hAnsi="Times New Roman" w:eastAsia="黑体" w:cs="Times New Roman"/>
              <w:b w:val="0"/>
              <w:bCs w:val="0"/>
              <w:sz w:val="24"/>
              <w:szCs w:val="24"/>
              <w:lang w:val="en-US" w:eastAsia="zh-CN"/>
            </w:rPr>
            <w:tab/>
          </w:r>
          <w:r>
            <w:rPr>
              <w:rFonts w:hint="default" w:ascii="Times New Roman" w:hAnsi="Times New Roman" w:eastAsia="黑体" w:cs="Times New Roman"/>
              <w:b w:val="0"/>
              <w:bCs w:val="0"/>
              <w:sz w:val="24"/>
              <w:szCs w:val="24"/>
              <w:lang w:val="en-US" w:eastAsia="zh-CN"/>
            </w:rPr>
            <w:fldChar w:fldCharType="begin"/>
          </w:r>
          <w:r>
            <w:rPr>
              <w:rFonts w:hint="default" w:ascii="Times New Roman" w:hAnsi="Times New Roman" w:eastAsia="黑体" w:cs="Times New Roman"/>
              <w:b w:val="0"/>
              <w:bCs w:val="0"/>
              <w:sz w:val="24"/>
              <w:szCs w:val="24"/>
              <w:lang w:val="en-US" w:eastAsia="zh-CN"/>
            </w:rPr>
            <w:instrText xml:space="preserve"> PAGEREF _Toc18429 \h </w:instrText>
          </w:r>
          <w:r>
            <w:rPr>
              <w:rFonts w:hint="default" w:ascii="Times New Roman" w:hAnsi="Times New Roman" w:eastAsia="黑体" w:cs="Times New Roman"/>
              <w:b w:val="0"/>
              <w:bCs w:val="0"/>
              <w:sz w:val="24"/>
              <w:szCs w:val="24"/>
              <w:lang w:val="en-US" w:eastAsia="zh-CN"/>
            </w:rPr>
            <w:fldChar w:fldCharType="separate"/>
          </w:r>
          <w:r>
            <w:rPr>
              <w:rFonts w:hint="default" w:ascii="Times New Roman" w:hAnsi="Times New Roman" w:eastAsia="黑体" w:cs="Times New Roman"/>
              <w:b w:val="0"/>
              <w:bCs w:val="0"/>
              <w:sz w:val="24"/>
              <w:szCs w:val="24"/>
              <w:lang w:val="en-US" w:eastAsia="zh-CN"/>
            </w:rPr>
            <w:t>8</w:t>
          </w:r>
          <w:r>
            <w:rPr>
              <w:rFonts w:hint="default" w:ascii="Times New Roman" w:hAnsi="Times New Roman" w:eastAsia="黑体" w:cs="Times New Roman"/>
              <w:b w:val="0"/>
              <w:bCs w:val="0"/>
              <w:sz w:val="24"/>
              <w:szCs w:val="24"/>
              <w:lang w:val="en-US" w:eastAsia="zh-CN"/>
            </w:rPr>
            <w:fldChar w:fldCharType="end"/>
          </w:r>
          <w:r>
            <w:rPr>
              <w:rFonts w:hint="default" w:ascii="Times New Roman" w:hAnsi="Times New Roman" w:eastAsia="黑体" w:cs="Times New Roman"/>
              <w:b w:val="0"/>
              <w:bCs w:val="0"/>
              <w:sz w:val="24"/>
              <w:szCs w:val="24"/>
              <w:lang w:val="en-US" w:eastAsia="zh-CN"/>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lang w:val="en-US" w:eastAsia="zh-CN"/>
            </w:rPr>
            <w:fldChar w:fldCharType="begin"/>
          </w:r>
          <w:r>
            <w:rPr>
              <w:rFonts w:hint="default" w:ascii="Times New Roman" w:hAnsi="Times New Roman" w:eastAsia="楷体" w:cs="Times New Roman"/>
              <w:b w:val="0"/>
              <w:bCs w:val="0"/>
              <w:sz w:val="24"/>
              <w:szCs w:val="24"/>
              <w:lang w:val="en-US" w:eastAsia="zh-CN"/>
            </w:rPr>
            <w:instrText xml:space="preserve"> HYPERLINK \l _Toc13047 </w:instrText>
          </w:r>
          <w:r>
            <w:rPr>
              <w:rFonts w:hint="default" w:ascii="Times New Roman" w:hAnsi="Times New Roman" w:eastAsia="楷体" w:cs="Times New Roman"/>
              <w:b w:val="0"/>
              <w:bCs w:val="0"/>
              <w:sz w:val="24"/>
              <w:szCs w:val="24"/>
              <w:lang w:val="en-US" w:eastAsia="zh-CN"/>
            </w:rPr>
            <w:fldChar w:fldCharType="separate"/>
          </w:r>
          <w:r>
            <w:rPr>
              <w:rFonts w:hint="default" w:ascii="Times New Roman" w:hAnsi="Times New Roman" w:eastAsia="楷体" w:cs="Times New Roman"/>
              <w:b w:val="0"/>
              <w:bCs w:val="0"/>
              <w:sz w:val="24"/>
              <w:szCs w:val="24"/>
              <w:lang w:val="en-US" w:eastAsia="zh-CN"/>
            </w:rPr>
            <w:t>（一）城市供水</w:t>
          </w:r>
          <w:r>
            <w:rPr>
              <w:rFonts w:hint="default" w:ascii="Times New Roman" w:hAnsi="Times New Roman" w:eastAsia="楷体" w:cs="Times New Roman"/>
              <w:b w:val="0"/>
              <w:bCs w:val="0"/>
              <w:sz w:val="24"/>
              <w:szCs w:val="24"/>
            </w:rPr>
            <w:tab/>
          </w:r>
          <w:r>
            <w:rPr>
              <w:rFonts w:hint="default" w:ascii="Times New Roman" w:hAnsi="Times New Roman" w:eastAsia="楷体" w:cs="Times New Roman"/>
              <w:b w:val="0"/>
              <w:bCs w:val="0"/>
              <w:sz w:val="24"/>
              <w:szCs w:val="24"/>
            </w:rPr>
            <w:fldChar w:fldCharType="begin"/>
          </w:r>
          <w:r>
            <w:rPr>
              <w:rFonts w:hint="default" w:ascii="Times New Roman" w:hAnsi="Times New Roman" w:eastAsia="楷体" w:cs="Times New Roman"/>
              <w:b w:val="0"/>
              <w:bCs w:val="0"/>
              <w:sz w:val="24"/>
              <w:szCs w:val="24"/>
            </w:rPr>
            <w:instrText xml:space="preserve"> PAGEREF _Toc13047 \h </w:instrText>
          </w:r>
          <w:r>
            <w:rPr>
              <w:rFonts w:hint="default" w:ascii="Times New Roman" w:hAnsi="Times New Roman" w:eastAsia="楷体" w:cs="Times New Roman"/>
              <w:b w:val="0"/>
              <w:bCs w:val="0"/>
              <w:sz w:val="24"/>
              <w:szCs w:val="24"/>
            </w:rPr>
            <w:fldChar w:fldCharType="separate"/>
          </w:r>
          <w:r>
            <w:rPr>
              <w:rFonts w:hint="default" w:ascii="Times New Roman" w:hAnsi="Times New Roman" w:eastAsia="楷体" w:cs="Times New Roman"/>
              <w:b w:val="0"/>
              <w:bCs w:val="0"/>
              <w:sz w:val="24"/>
              <w:szCs w:val="24"/>
            </w:rPr>
            <w:t>8</w:t>
          </w:r>
          <w:r>
            <w:rPr>
              <w:rFonts w:hint="default" w:ascii="Times New Roman" w:hAnsi="Times New Roman" w:eastAsia="楷体" w:cs="Times New Roman"/>
              <w:b w:val="0"/>
              <w:bCs w:val="0"/>
              <w:sz w:val="24"/>
              <w:szCs w:val="24"/>
            </w:rPr>
            <w:fldChar w:fldCharType="end"/>
          </w:r>
          <w:r>
            <w:rPr>
              <w:rFonts w:hint="default" w:ascii="Times New Roman" w:hAnsi="Times New Roman" w:eastAsia="楷体" w:cs="Times New Roman"/>
              <w:b w:val="0"/>
              <w:bCs w:val="0"/>
              <w:sz w:val="24"/>
              <w:szCs w:val="24"/>
              <w:lang w:val="en-US" w:eastAsia="zh-CN"/>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lang w:val="en-US" w:eastAsia="zh-CN"/>
            </w:rPr>
            <w:fldChar w:fldCharType="begin"/>
          </w:r>
          <w:r>
            <w:rPr>
              <w:rFonts w:hint="default" w:ascii="Times New Roman" w:hAnsi="Times New Roman" w:eastAsia="楷体" w:cs="Times New Roman"/>
              <w:b w:val="0"/>
              <w:bCs w:val="0"/>
              <w:sz w:val="24"/>
              <w:szCs w:val="24"/>
              <w:lang w:val="en-US" w:eastAsia="zh-CN"/>
            </w:rPr>
            <w:instrText xml:space="preserve"> HYPERLINK \l _Toc19450 </w:instrText>
          </w:r>
          <w:r>
            <w:rPr>
              <w:rFonts w:hint="default" w:ascii="Times New Roman" w:hAnsi="Times New Roman" w:eastAsia="楷体" w:cs="Times New Roman"/>
              <w:b w:val="0"/>
              <w:bCs w:val="0"/>
              <w:sz w:val="24"/>
              <w:szCs w:val="24"/>
              <w:lang w:val="en-US" w:eastAsia="zh-CN"/>
            </w:rPr>
            <w:fldChar w:fldCharType="separate"/>
          </w:r>
          <w:r>
            <w:rPr>
              <w:rFonts w:hint="default" w:ascii="Times New Roman" w:hAnsi="Times New Roman" w:eastAsia="楷体" w:cs="Times New Roman"/>
              <w:b w:val="0"/>
              <w:bCs w:val="0"/>
              <w:sz w:val="24"/>
              <w:szCs w:val="24"/>
              <w:lang w:val="en-US" w:eastAsia="zh-CN"/>
            </w:rPr>
            <w:t>（二）城市燃气</w:t>
          </w:r>
          <w:r>
            <w:rPr>
              <w:rFonts w:hint="default" w:ascii="Times New Roman" w:hAnsi="Times New Roman" w:eastAsia="楷体" w:cs="Times New Roman"/>
              <w:b w:val="0"/>
              <w:bCs w:val="0"/>
              <w:sz w:val="24"/>
              <w:szCs w:val="24"/>
            </w:rPr>
            <w:tab/>
          </w:r>
          <w:r>
            <w:rPr>
              <w:rFonts w:hint="default" w:ascii="Times New Roman" w:hAnsi="Times New Roman" w:eastAsia="楷体" w:cs="Times New Roman"/>
              <w:b w:val="0"/>
              <w:bCs w:val="0"/>
              <w:sz w:val="24"/>
              <w:szCs w:val="24"/>
            </w:rPr>
            <w:fldChar w:fldCharType="begin"/>
          </w:r>
          <w:r>
            <w:rPr>
              <w:rFonts w:hint="default" w:ascii="Times New Roman" w:hAnsi="Times New Roman" w:eastAsia="楷体" w:cs="Times New Roman"/>
              <w:b w:val="0"/>
              <w:bCs w:val="0"/>
              <w:sz w:val="24"/>
              <w:szCs w:val="24"/>
            </w:rPr>
            <w:instrText xml:space="preserve"> PAGEREF _Toc19450 \h </w:instrText>
          </w:r>
          <w:r>
            <w:rPr>
              <w:rFonts w:hint="default" w:ascii="Times New Roman" w:hAnsi="Times New Roman" w:eastAsia="楷体" w:cs="Times New Roman"/>
              <w:b w:val="0"/>
              <w:bCs w:val="0"/>
              <w:sz w:val="24"/>
              <w:szCs w:val="24"/>
            </w:rPr>
            <w:fldChar w:fldCharType="separate"/>
          </w:r>
          <w:r>
            <w:rPr>
              <w:rFonts w:hint="default" w:ascii="Times New Roman" w:hAnsi="Times New Roman" w:eastAsia="楷体" w:cs="Times New Roman"/>
              <w:b w:val="0"/>
              <w:bCs w:val="0"/>
              <w:sz w:val="24"/>
              <w:szCs w:val="24"/>
            </w:rPr>
            <w:t>10</w:t>
          </w:r>
          <w:r>
            <w:rPr>
              <w:rFonts w:hint="default" w:ascii="Times New Roman" w:hAnsi="Times New Roman" w:eastAsia="楷体" w:cs="Times New Roman"/>
              <w:b w:val="0"/>
              <w:bCs w:val="0"/>
              <w:sz w:val="24"/>
              <w:szCs w:val="24"/>
            </w:rPr>
            <w:fldChar w:fldCharType="end"/>
          </w:r>
          <w:r>
            <w:rPr>
              <w:rFonts w:hint="default" w:ascii="Times New Roman" w:hAnsi="Times New Roman" w:eastAsia="楷体" w:cs="Times New Roman"/>
              <w:b w:val="0"/>
              <w:bCs w:val="0"/>
              <w:sz w:val="24"/>
              <w:szCs w:val="24"/>
              <w:lang w:val="en-US" w:eastAsia="zh-CN"/>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lang w:val="en-US" w:eastAsia="zh-CN"/>
            </w:rPr>
            <w:fldChar w:fldCharType="begin"/>
          </w:r>
          <w:r>
            <w:rPr>
              <w:rFonts w:hint="default" w:ascii="Times New Roman" w:hAnsi="Times New Roman" w:eastAsia="楷体" w:cs="Times New Roman"/>
              <w:b w:val="0"/>
              <w:bCs w:val="0"/>
              <w:sz w:val="24"/>
              <w:szCs w:val="24"/>
              <w:lang w:val="en-US" w:eastAsia="zh-CN"/>
            </w:rPr>
            <w:instrText xml:space="preserve"> HYPERLINK \l _Toc17103 </w:instrText>
          </w:r>
          <w:r>
            <w:rPr>
              <w:rFonts w:hint="default" w:ascii="Times New Roman" w:hAnsi="Times New Roman" w:eastAsia="楷体" w:cs="Times New Roman"/>
              <w:b w:val="0"/>
              <w:bCs w:val="0"/>
              <w:sz w:val="24"/>
              <w:szCs w:val="24"/>
              <w:lang w:val="en-US" w:eastAsia="zh-CN"/>
            </w:rPr>
            <w:fldChar w:fldCharType="separate"/>
          </w:r>
          <w:r>
            <w:rPr>
              <w:rFonts w:hint="default" w:ascii="Times New Roman" w:hAnsi="Times New Roman" w:eastAsia="楷体" w:cs="Times New Roman"/>
              <w:b w:val="0"/>
              <w:bCs w:val="0"/>
              <w:sz w:val="24"/>
              <w:szCs w:val="24"/>
              <w:lang w:val="en-US" w:eastAsia="zh-CN"/>
            </w:rPr>
            <w:t>（三）城市集中供热</w:t>
          </w:r>
          <w:r>
            <w:rPr>
              <w:rFonts w:hint="default" w:ascii="Times New Roman" w:hAnsi="Times New Roman" w:eastAsia="楷体" w:cs="Times New Roman"/>
              <w:b w:val="0"/>
              <w:bCs w:val="0"/>
              <w:sz w:val="24"/>
              <w:szCs w:val="24"/>
            </w:rPr>
            <w:tab/>
          </w:r>
          <w:r>
            <w:rPr>
              <w:rFonts w:hint="default" w:ascii="Times New Roman" w:hAnsi="Times New Roman" w:eastAsia="楷体" w:cs="Times New Roman"/>
              <w:b w:val="0"/>
              <w:bCs w:val="0"/>
              <w:sz w:val="24"/>
              <w:szCs w:val="24"/>
            </w:rPr>
            <w:fldChar w:fldCharType="begin"/>
          </w:r>
          <w:r>
            <w:rPr>
              <w:rFonts w:hint="default" w:ascii="Times New Roman" w:hAnsi="Times New Roman" w:eastAsia="楷体" w:cs="Times New Roman"/>
              <w:b w:val="0"/>
              <w:bCs w:val="0"/>
              <w:sz w:val="24"/>
              <w:szCs w:val="24"/>
            </w:rPr>
            <w:instrText xml:space="preserve"> PAGEREF _Toc17103 \h </w:instrText>
          </w:r>
          <w:r>
            <w:rPr>
              <w:rFonts w:hint="default" w:ascii="Times New Roman" w:hAnsi="Times New Roman" w:eastAsia="楷体" w:cs="Times New Roman"/>
              <w:b w:val="0"/>
              <w:bCs w:val="0"/>
              <w:sz w:val="24"/>
              <w:szCs w:val="24"/>
            </w:rPr>
            <w:fldChar w:fldCharType="separate"/>
          </w:r>
          <w:r>
            <w:rPr>
              <w:rFonts w:hint="default" w:ascii="Times New Roman" w:hAnsi="Times New Roman" w:eastAsia="楷体" w:cs="Times New Roman"/>
              <w:b w:val="0"/>
              <w:bCs w:val="0"/>
              <w:sz w:val="24"/>
              <w:szCs w:val="24"/>
            </w:rPr>
            <w:t>14</w:t>
          </w:r>
          <w:r>
            <w:rPr>
              <w:rFonts w:hint="default" w:ascii="Times New Roman" w:hAnsi="Times New Roman" w:eastAsia="楷体" w:cs="Times New Roman"/>
              <w:b w:val="0"/>
              <w:bCs w:val="0"/>
              <w:sz w:val="24"/>
              <w:szCs w:val="24"/>
            </w:rPr>
            <w:fldChar w:fldCharType="end"/>
          </w:r>
          <w:r>
            <w:rPr>
              <w:rFonts w:hint="default" w:ascii="Times New Roman" w:hAnsi="Times New Roman" w:eastAsia="楷体" w:cs="Times New Roman"/>
              <w:b w:val="0"/>
              <w:bCs w:val="0"/>
              <w:sz w:val="24"/>
              <w:szCs w:val="24"/>
              <w:lang w:val="en-US" w:eastAsia="zh-CN"/>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fldChar w:fldCharType="begin"/>
          </w:r>
          <w:r>
            <w:rPr>
              <w:rFonts w:hint="default" w:ascii="Times New Roman" w:hAnsi="Times New Roman" w:eastAsia="黑体" w:cs="Times New Roman"/>
              <w:b w:val="0"/>
              <w:bCs w:val="0"/>
              <w:sz w:val="24"/>
              <w:szCs w:val="24"/>
              <w:lang w:val="en-US" w:eastAsia="zh-CN"/>
            </w:rPr>
            <w:instrText xml:space="preserve"> HYPERLINK \l _Toc8291 </w:instrText>
          </w:r>
          <w:r>
            <w:rPr>
              <w:rFonts w:hint="default" w:ascii="Times New Roman" w:hAnsi="Times New Roman" w:eastAsia="黑体" w:cs="Times New Roman"/>
              <w:b w:val="0"/>
              <w:bCs w:val="0"/>
              <w:sz w:val="24"/>
              <w:szCs w:val="24"/>
              <w:lang w:val="en-US" w:eastAsia="zh-CN"/>
            </w:rPr>
            <w:fldChar w:fldCharType="separate"/>
          </w:r>
          <w:r>
            <w:rPr>
              <w:rFonts w:hint="default" w:ascii="Times New Roman" w:hAnsi="Times New Roman" w:eastAsia="黑体" w:cs="Times New Roman"/>
              <w:b w:val="0"/>
              <w:bCs w:val="0"/>
              <w:sz w:val="24"/>
              <w:szCs w:val="24"/>
              <w:lang w:val="en-US" w:eastAsia="zh-CN"/>
            </w:rPr>
            <w:t>四、城市居民环境卫生需求</w:t>
          </w:r>
          <w:r>
            <w:rPr>
              <w:rFonts w:hint="default" w:ascii="Times New Roman" w:hAnsi="Times New Roman" w:eastAsia="黑体" w:cs="Times New Roman"/>
              <w:b w:val="0"/>
              <w:bCs w:val="0"/>
              <w:sz w:val="24"/>
              <w:szCs w:val="24"/>
              <w:lang w:val="en-US" w:eastAsia="zh-CN"/>
            </w:rPr>
            <w:tab/>
          </w:r>
          <w:r>
            <w:rPr>
              <w:rFonts w:hint="default" w:ascii="Times New Roman" w:hAnsi="Times New Roman" w:eastAsia="黑体" w:cs="Times New Roman"/>
              <w:b w:val="0"/>
              <w:bCs w:val="0"/>
              <w:sz w:val="24"/>
              <w:szCs w:val="24"/>
              <w:lang w:val="en-US" w:eastAsia="zh-CN"/>
            </w:rPr>
            <w:fldChar w:fldCharType="begin"/>
          </w:r>
          <w:r>
            <w:rPr>
              <w:rFonts w:hint="default" w:ascii="Times New Roman" w:hAnsi="Times New Roman" w:eastAsia="黑体" w:cs="Times New Roman"/>
              <w:b w:val="0"/>
              <w:bCs w:val="0"/>
              <w:sz w:val="24"/>
              <w:szCs w:val="24"/>
              <w:lang w:val="en-US" w:eastAsia="zh-CN"/>
            </w:rPr>
            <w:instrText xml:space="preserve"> PAGEREF _Toc8291 \h </w:instrText>
          </w:r>
          <w:r>
            <w:rPr>
              <w:rFonts w:hint="default" w:ascii="Times New Roman" w:hAnsi="Times New Roman" w:eastAsia="黑体" w:cs="Times New Roman"/>
              <w:b w:val="0"/>
              <w:bCs w:val="0"/>
              <w:sz w:val="24"/>
              <w:szCs w:val="24"/>
              <w:lang w:val="en-US" w:eastAsia="zh-CN"/>
            </w:rPr>
            <w:fldChar w:fldCharType="separate"/>
          </w:r>
          <w:r>
            <w:rPr>
              <w:rFonts w:hint="default" w:ascii="Times New Roman" w:hAnsi="Times New Roman" w:eastAsia="黑体" w:cs="Times New Roman"/>
              <w:b w:val="0"/>
              <w:bCs w:val="0"/>
              <w:sz w:val="24"/>
              <w:szCs w:val="24"/>
              <w:lang w:val="en-US" w:eastAsia="zh-CN"/>
            </w:rPr>
            <w:t>16</w:t>
          </w:r>
          <w:r>
            <w:rPr>
              <w:rFonts w:hint="default" w:ascii="Times New Roman" w:hAnsi="Times New Roman" w:eastAsia="黑体" w:cs="Times New Roman"/>
              <w:b w:val="0"/>
              <w:bCs w:val="0"/>
              <w:sz w:val="24"/>
              <w:szCs w:val="24"/>
              <w:lang w:val="en-US" w:eastAsia="zh-CN"/>
            </w:rPr>
            <w:fldChar w:fldCharType="end"/>
          </w:r>
          <w:r>
            <w:rPr>
              <w:rFonts w:hint="default" w:ascii="Times New Roman" w:hAnsi="Times New Roman" w:eastAsia="黑体" w:cs="Times New Roman"/>
              <w:b w:val="0"/>
              <w:bCs w:val="0"/>
              <w:sz w:val="24"/>
              <w:szCs w:val="24"/>
              <w:lang w:val="en-US" w:eastAsia="zh-CN"/>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lang w:val="en-US" w:eastAsia="zh-CN"/>
            </w:rPr>
            <w:fldChar w:fldCharType="begin"/>
          </w:r>
          <w:r>
            <w:rPr>
              <w:rFonts w:hint="default" w:ascii="Times New Roman" w:hAnsi="Times New Roman" w:eastAsia="楷体" w:cs="Times New Roman"/>
              <w:b w:val="0"/>
              <w:bCs w:val="0"/>
              <w:sz w:val="24"/>
              <w:szCs w:val="24"/>
              <w:lang w:val="en-US" w:eastAsia="zh-CN"/>
            </w:rPr>
            <w:instrText xml:space="preserve"> HYPERLINK \l _Toc21215 </w:instrText>
          </w:r>
          <w:r>
            <w:rPr>
              <w:rFonts w:hint="default" w:ascii="Times New Roman" w:hAnsi="Times New Roman" w:eastAsia="楷体" w:cs="Times New Roman"/>
              <w:b w:val="0"/>
              <w:bCs w:val="0"/>
              <w:sz w:val="24"/>
              <w:szCs w:val="24"/>
              <w:lang w:val="en-US" w:eastAsia="zh-CN"/>
            </w:rPr>
            <w:fldChar w:fldCharType="separate"/>
          </w:r>
          <w:r>
            <w:rPr>
              <w:rFonts w:hint="default" w:ascii="Times New Roman" w:hAnsi="Times New Roman" w:eastAsia="楷体" w:cs="Times New Roman"/>
              <w:b w:val="0"/>
              <w:bCs w:val="0"/>
              <w:sz w:val="24"/>
              <w:szCs w:val="24"/>
              <w:lang w:val="en-US" w:eastAsia="zh-CN"/>
            </w:rPr>
            <w:t>（一）城市污水处理</w:t>
          </w:r>
          <w:r>
            <w:rPr>
              <w:rFonts w:hint="default" w:ascii="Times New Roman" w:hAnsi="Times New Roman" w:eastAsia="楷体" w:cs="Times New Roman"/>
              <w:b w:val="0"/>
              <w:bCs w:val="0"/>
              <w:sz w:val="24"/>
              <w:szCs w:val="24"/>
            </w:rPr>
            <w:tab/>
          </w:r>
          <w:r>
            <w:rPr>
              <w:rFonts w:hint="default" w:ascii="Times New Roman" w:hAnsi="Times New Roman" w:eastAsia="楷体" w:cs="Times New Roman"/>
              <w:b w:val="0"/>
              <w:bCs w:val="0"/>
              <w:sz w:val="24"/>
              <w:szCs w:val="24"/>
            </w:rPr>
            <w:fldChar w:fldCharType="begin"/>
          </w:r>
          <w:r>
            <w:rPr>
              <w:rFonts w:hint="default" w:ascii="Times New Roman" w:hAnsi="Times New Roman" w:eastAsia="楷体" w:cs="Times New Roman"/>
              <w:b w:val="0"/>
              <w:bCs w:val="0"/>
              <w:sz w:val="24"/>
              <w:szCs w:val="24"/>
            </w:rPr>
            <w:instrText xml:space="preserve"> PAGEREF _Toc21215 \h </w:instrText>
          </w:r>
          <w:r>
            <w:rPr>
              <w:rFonts w:hint="default" w:ascii="Times New Roman" w:hAnsi="Times New Roman" w:eastAsia="楷体" w:cs="Times New Roman"/>
              <w:b w:val="0"/>
              <w:bCs w:val="0"/>
              <w:sz w:val="24"/>
              <w:szCs w:val="24"/>
            </w:rPr>
            <w:fldChar w:fldCharType="separate"/>
          </w:r>
          <w:r>
            <w:rPr>
              <w:rFonts w:hint="default" w:ascii="Times New Roman" w:hAnsi="Times New Roman" w:eastAsia="楷体" w:cs="Times New Roman"/>
              <w:b w:val="0"/>
              <w:bCs w:val="0"/>
              <w:sz w:val="24"/>
              <w:szCs w:val="24"/>
            </w:rPr>
            <w:t>16</w:t>
          </w:r>
          <w:r>
            <w:rPr>
              <w:rFonts w:hint="default" w:ascii="Times New Roman" w:hAnsi="Times New Roman" w:eastAsia="楷体" w:cs="Times New Roman"/>
              <w:b w:val="0"/>
              <w:bCs w:val="0"/>
              <w:sz w:val="24"/>
              <w:szCs w:val="24"/>
            </w:rPr>
            <w:fldChar w:fldCharType="end"/>
          </w:r>
          <w:r>
            <w:rPr>
              <w:rFonts w:hint="default" w:ascii="Times New Roman" w:hAnsi="Times New Roman" w:eastAsia="楷体" w:cs="Times New Roman"/>
              <w:b w:val="0"/>
              <w:bCs w:val="0"/>
              <w:sz w:val="24"/>
              <w:szCs w:val="24"/>
              <w:lang w:val="en-US" w:eastAsia="zh-CN"/>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lang w:val="en-US" w:eastAsia="zh-CN"/>
            </w:rPr>
            <w:fldChar w:fldCharType="begin"/>
          </w:r>
          <w:r>
            <w:rPr>
              <w:rFonts w:hint="default" w:ascii="Times New Roman" w:hAnsi="Times New Roman" w:eastAsia="楷体" w:cs="Times New Roman"/>
              <w:b w:val="0"/>
              <w:bCs w:val="0"/>
              <w:sz w:val="24"/>
              <w:szCs w:val="24"/>
              <w:lang w:val="en-US" w:eastAsia="zh-CN"/>
            </w:rPr>
            <w:instrText xml:space="preserve"> HYPERLINK \l _Toc28131 </w:instrText>
          </w:r>
          <w:r>
            <w:rPr>
              <w:rFonts w:hint="default" w:ascii="Times New Roman" w:hAnsi="Times New Roman" w:eastAsia="楷体" w:cs="Times New Roman"/>
              <w:b w:val="0"/>
              <w:bCs w:val="0"/>
              <w:sz w:val="24"/>
              <w:szCs w:val="24"/>
              <w:lang w:val="en-US" w:eastAsia="zh-CN"/>
            </w:rPr>
            <w:fldChar w:fldCharType="separate"/>
          </w:r>
          <w:r>
            <w:rPr>
              <w:rFonts w:hint="default" w:ascii="Times New Roman" w:hAnsi="Times New Roman" w:eastAsia="楷体" w:cs="Times New Roman"/>
              <w:b w:val="0"/>
              <w:bCs w:val="0"/>
              <w:sz w:val="24"/>
              <w:szCs w:val="24"/>
              <w:lang w:val="en-US" w:eastAsia="zh-CN"/>
            </w:rPr>
            <w:t>（二）城市生活垃圾处理</w:t>
          </w:r>
          <w:r>
            <w:rPr>
              <w:rFonts w:hint="default" w:ascii="Times New Roman" w:hAnsi="Times New Roman" w:eastAsia="楷体" w:cs="Times New Roman"/>
              <w:b w:val="0"/>
              <w:bCs w:val="0"/>
              <w:sz w:val="24"/>
              <w:szCs w:val="24"/>
            </w:rPr>
            <w:tab/>
          </w:r>
          <w:r>
            <w:rPr>
              <w:rFonts w:hint="default" w:ascii="Times New Roman" w:hAnsi="Times New Roman" w:eastAsia="楷体" w:cs="Times New Roman"/>
              <w:b w:val="0"/>
              <w:bCs w:val="0"/>
              <w:sz w:val="24"/>
              <w:szCs w:val="24"/>
            </w:rPr>
            <w:fldChar w:fldCharType="begin"/>
          </w:r>
          <w:r>
            <w:rPr>
              <w:rFonts w:hint="default" w:ascii="Times New Roman" w:hAnsi="Times New Roman" w:eastAsia="楷体" w:cs="Times New Roman"/>
              <w:b w:val="0"/>
              <w:bCs w:val="0"/>
              <w:sz w:val="24"/>
              <w:szCs w:val="24"/>
            </w:rPr>
            <w:instrText xml:space="preserve"> PAGEREF _Toc28131 \h </w:instrText>
          </w:r>
          <w:r>
            <w:rPr>
              <w:rFonts w:hint="default" w:ascii="Times New Roman" w:hAnsi="Times New Roman" w:eastAsia="楷体" w:cs="Times New Roman"/>
              <w:b w:val="0"/>
              <w:bCs w:val="0"/>
              <w:sz w:val="24"/>
              <w:szCs w:val="24"/>
            </w:rPr>
            <w:fldChar w:fldCharType="separate"/>
          </w:r>
          <w:r>
            <w:rPr>
              <w:rFonts w:hint="default" w:ascii="Times New Roman" w:hAnsi="Times New Roman" w:eastAsia="楷体" w:cs="Times New Roman"/>
              <w:b w:val="0"/>
              <w:bCs w:val="0"/>
              <w:sz w:val="24"/>
              <w:szCs w:val="24"/>
            </w:rPr>
            <w:t>17</w:t>
          </w:r>
          <w:r>
            <w:rPr>
              <w:rFonts w:hint="default" w:ascii="Times New Roman" w:hAnsi="Times New Roman" w:eastAsia="楷体" w:cs="Times New Roman"/>
              <w:b w:val="0"/>
              <w:bCs w:val="0"/>
              <w:sz w:val="24"/>
              <w:szCs w:val="24"/>
            </w:rPr>
            <w:fldChar w:fldCharType="end"/>
          </w:r>
          <w:r>
            <w:rPr>
              <w:rFonts w:hint="default" w:ascii="Times New Roman" w:hAnsi="Times New Roman" w:eastAsia="楷体" w:cs="Times New Roman"/>
              <w:b w:val="0"/>
              <w:bCs w:val="0"/>
              <w:sz w:val="24"/>
              <w:szCs w:val="24"/>
              <w:lang w:val="en-US" w:eastAsia="zh-CN"/>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b w:val="0"/>
              <w:bCs w:val="0"/>
              <w:sz w:val="24"/>
              <w:szCs w:val="24"/>
            </w:rPr>
          </w:pPr>
          <w:r>
            <w:rPr>
              <w:rFonts w:hint="default" w:ascii="Times New Roman" w:hAnsi="Times New Roman" w:eastAsia="黑体" w:cs="Times New Roman"/>
              <w:b w:val="0"/>
              <w:bCs w:val="0"/>
              <w:sz w:val="24"/>
              <w:szCs w:val="24"/>
              <w:lang w:val="en-US" w:eastAsia="zh-CN"/>
            </w:rPr>
            <w:fldChar w:fldCharType="begin"/>
          </w:r>
          <w:r>
            <w:rPr>
              <w:rFonts w:hint="default" w:ascii="Times New Roman" w:hAnsi="Times New Roman" w:eastAsia="黑体" w:cs="Times New Roman"/>
              <w:b w:val="0"/>
              <w:bCs w:val="0"/>
              <w:sz w:val="24"/>
              <w:szCs w:val="24"/>
              <w:lang w:val="en-US" w:eastAsia="zh-CN"/>
            </w:rPr>
            <w:instrText xml:space="preserve"> HYPERLINK \l _Toc8547 </w:instrText>
          </w:r>
          <w:r>
            <w:rPr>
              <w:rFonts w:hint="default" w:ascii="Times New Roman" w:hAnsi="Times New Roman" w:eastAsia="黑体" w:cs="Times New Roman"/>
              <w:b w:val="0"/>
              <w:bCs w:val="0"/>
              <w:sz w:val="24"/>
              <w:szCs w:val="24"/>
              <w:lang w:val="en-US" w:eastAsia="zh-CN"/>
            </w:rPr>
            <w:fldChar w:fldCharType="separate"/>
          </w:r>
          <w:r>
            <w:rPr>
              <w:rFonts w:hint="default" w:ascii="Times New Roman" w:hAnsi="Times New Roman" w:eastAsia="黑体" w:cs="Times New Roman"/>
              <w:b w:val="0"/>
              <w:bCs w:val="0"/>
              <w:sz w:val="24"/>
              <w:szCs w:val="24"/>
              <w:lang w:val="en-US" w:eastAsia="zh-CN"/>
            </w:rPr>
            <w:t>五、城市居民出行需求</w:t>
          </w:r>
          <w:r>
            <w:rPr>
              <w:rFonts w:hint="default" w:ascii="Times New Roman" w:hAnsi="Times New Roman" w:eastAsia="黑体" w:cs="Times New Roman"/>
              <w:b w:val="0"/>
              <w:bCs w:val="0"/>
              <w:sz w:val="24"/>
              <w:szCs w:val="24"/>
              <w:lang w:val="en-US" w:eastAsia="zh-CN"/>
            </w:rPr>
            <w:tab/>
          </w:r>
          <w:r>
            <w:rPr>
              <w:rFonts w:hint="default" w:ascii="Times New Roman" w:hAnsi="Times New Roman" w:eastAsia="黑体" w:cs="Times New Roman"/>
              <w:b w:val="0"/>
              <w:bCs w:val="0"/>
              <w:sz w:val="24"/>
              <w:szCs w:val="24"/>
              <w:lang w:val="en-US" w:eastAsia="zh-CN"/>
            </w:rPr>
            <w:fldChar w:fldCharType="begin"/>
          </w:r>
          <w:r>
            <w:rPr>
              <w:rFonts w:hint="default" w:ascii="Times New Roman" w:hAnsi="Times New Roman" w:eastAsia="黑体" w:cs="Times New Roman"/>
              <w:b w:val="0"/>
              <w:bCs w:val="0"/>
              <w:sz w:val="24"/>
              <w:szCs w:val="24"/>
              <w:lang w:val="en-US" w:eastAsia="zh-CN"/>
            </w:rPr>
            <w:instrText xml:space="preserve"> PAGEREF _Toc8547 \h </w:instrText>
          </w:r>
          <w:r>
            <w:rPr>
              <w:rFonts w:hint="default" w:ascii="Times New Roman" w:hAnsi="Times New Roman" w:eastAsia="黑体" w:cs="Times New Roman"/>
              <w:b w:val="0"/>
              <w:bCs w:val="0"/>
              <w:sz w:val="24"/>
              <w:szCs w:val="24"/>
              <w:lang w:val="en-US" w:eastAsia="zh-CN"/>
            </w:rPr>
            <w:fldChar w:fldCharType="separate"/>
          </w:r>
          <w:r>
            <w:rPr>
              <w:rFonts w:hint="default" w:ascii="Times New Roman" w:hAnsi="Times New Roman" w:eastAsia="黑体" w:cs="Times New Roman"/>
              <w:b w:val="0"/>
              <w:bCs w:val="0"/>
              <w:sz w:val="24"/>
              <w:szCs w:val="24"/>
              <w:lang w:val="en-US" w:eastAsia="zh-CN"/>
            </w:rPr>
            <w:t>19</w:t>
          </w:r>
          <w:r>
            <w:rPr>
              <w:rFonts w:hint="default" w:ascii="Times New Roman" w:hAnsi="Times New Roman" w:eastAsia="黑体" w:cs="Times New Roman"/>
              <w:b w:val="0"/>
              <w:bCs w:val="0"/>
              <w:sz w:val="24"/>
              <w:szCs w:val="24"/>
              <w:lang w:val="en-US" w:eastAsia="zh-CN"/>
            </w:rPr>
            <w:fldChar w:fldCharType="end"/>
          </w:r>
          <w:r>
            <w:rPr>
              <w:rFonts w:hint="default" w:ascii="Times New Roman" w:hAnsi="Times New Roman" w:eastAsia="黑体" w:cs="Times New Roman"/>
              <w:b w:val="0"/>
              <w:bCs w:val="0"/>
              <w:sz w:val="24"/>
              <w:szCs w:val="24"/>
              <w:lang w:val="en-US" w:eastAsia="zh-CN"/>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lang w:val="en-US" w:eastAsia="zh-CN"/>
            </w:rPr>
            <w:fldChar w:fldCharType="begin"/>
          </w:r>
          <w:r>
            <w:rPr>
              <w:rFonts w:hint="default" w:ascii="Times New Roman" w:hAnsi="Times New Roman" w:eastAsia="楷体" w:cs="Times New Roman"/>
              <w:b w:val="0"/>
              <w:bCs w:val="0"/>
              <w:sz w:val="24"/>
              <w:szCs w:val="24"/>
              <w:lang w:val="en-US" w:eastAsia="zh-CN"/>
            </w:rPr>
            <w:instrText xml:space="preserve"> HYPERLINK \l _Toc25962 </w:instrText>
          </w:r>
          <w:r>
            <w:rPr>
              <w:rFonts w:hint="default" w:ascii="Times New Roman" w:hAnsi="Times New Roman" w:eastAsia="楷体" w:cs="Times New Roman"/>
              <w:b w:val="0"/>
              <w:bCs w:val="0"/>
              <w:sz w:val="24"/>
              <w:szCs w:val="24"/>
              <w:lang w:val="en-US" w:eastAsia="zh-CN"/>
            </w:rPr>
            <w:fldChar w:fldCharType="separate"/>
          </w:r>
          <w:r>
            <w:rPr>
              <w:rFonts w:hint="default" w:ascii="Times New Roman" w:hAnsi="Times New Roman" w:eastAsia="楷体" w:cs="Times New Roman"/>
              <w:b w:val="0"/>
              <w:bCs w:val="0"/>
              <w:sz w:val="24"/>
              <w:szCs w:val="24"/>
              <w:lang w:val="en-US" w:eastAsia="zh-CN"/>
            </w:rPr>
            <w:t>（一）城市轨道交通</w:t>
          </w:r>
          <w:r>
            <w:rPr>
              <w:rFonts w:hint="default" w:ascii="Times New Roman" w:hAnsi="Times New Roman" w:eastAsia="楷体" w:cs="Times New Roman"/>
              <w:b w:val="0"/>
              <w:bCs w:val="0"/>
              <w:sz w:val="24"/>
              <w:szCs w:val="24"/>
            </w:rPr>
            <w:tab/>
          </w:r>
          <w:r>
            <w:rPr>
              <w:rFonts w:hint="default" w:ascii="Times New Roman" w:hAnsi="Times New Roman" w:eastAsia="楷体" w:cs="Times New Roman"/>
              <w:b w:val="0"/>
              <w:bCs w:val="0"/>
              <w:sz w:val="24"/>
              <w:szCs w:val="24"/>
            </w:rPr>
            <w:fldChar w:fldCharType="begin"/>
          </w:r>
          <w:r>
            <w:rPr>
              <w:rFonts w:hint="default" w:ascii="Times New Roman" w:hAnsi="Times New Roman" w:eastAsia="楷体" w:cs="Times New Roman"/>
              <w:b w:val="0"/>
              <w:bCs w:val="0"/>
              <w:sz w:val="24"/>
              <w:szCs w:val="24"/>
            </w:rPr>
            <w:instrText xml:space="preserve"> PAGEREF _Toc25962 \h </w:instrText>
          </w:r>
          <w:r>
            <w:rPr>
              <w:rFonts w:hint="default" w:ascii="Times New Roman" w:hAnsi="Times New Roman" w:eastAsia="楷体" w:cs="Times New Roman"/>
              <w:b w:val="0"/>
              <w:bCs w:val="0"/>
              <w:sz w:val="24"/>
              <w:szCs w:val="24"/>
            </w:rPr>
            <w:fldChar w:fldCharType="separate"/>
          </w:r>
          <w:r>
            <w:rPr>
              <w:rFonts w:hint="default" w:ascii="Times New Roman" w:hAnsi="Times New Roman" w:eastAsia="楷体" w:cs="Times New Roman"/>
              <w:b w:val="0"/>
              <w:bCs w:val="0"/>
              <w:sz w:val="24"/>
              <w:szCs w:val="24"/>
            </w:rPr>
            <w:t>19</w:t>
          </w:r>
          <w:r>
            <w:rPr>
              <w:rFonts w:hint="default" w:ascii="Times New Roman" w:hAnsi="Times New Roman" w:eastAsia="楷体" w:cs="Times New Roman"/>
              <w:b w:val="0"/>
              <w:bCs w:val="0"/>
              <w:sz w:val="24"/>
              <w:szCs w:val="24"/>
            </w:rPr>
            <w:fldChar w:fldCharType="end"/>
          </w:r>
          <w:r>
            <w:rPr>
              <w:rFonts w:hint="default" w:ascii="Times New Roman" w:hAnsi="Times New Roman" w:eastAsia="楷体" w:cs="Times New Roman"/>
              <w:b w:val="0"/>
              <w:bCs w:val="0"/>
              <w:sz w:val="24"/>
              <w:szCs w:val="24"/>
              <w:lang w:val="en-US" w:eastAsia="zh-CN"/>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lang w:val="en-US" w:eastAsia="zh-CN"/>
            </w:rPr>
            <w:fldChar w:fldCharType="begin"/>
          </w:r>
          <w:r>
            <w:rPr>
              <w:rFonts w:hint="default" w:ascii="Times New Roman" w:hAnsi="Times New Roman" w:eastAsia="楷体" w:cs="Times New Roman"/>
              <w:b w:val="0"/>
              <w:bCs w:val="0"/>
              <w:sz w:val="24"/>
              <w:szCs w:val="24"/>
              <w:lang w:val="en-US" w:eastAsia="zh-CN"/>
            </w:rPr>
            <w:instrText xml:space="preserve"> HYPERLINK \l _Toc31021 </w:instrText>
          </w:r>
          <w:r>
            <w:rPr>
              <w:rFonts w:hint="default" w:ascii="Times New Roman" w:hAnsi="Times New Roman" w:eastAsia="楷体" w:cs="Times New Roman"/>
              <w:b w:val="0"/>
              <w:bCs w:val="0"/>
              <w:sz w:val="24"/>
              <w:szCs w:val="24"/>
              <w:lang w:val="en-US" w:eastAsia="zh-CN"/>
            </w:rPr>
            <w:fldChar w:fldCharType="separate"/>
          </w:r>
          <w:r>
            <w:rPr>
              <w:rFonts w:hint="default" w:ascii="Times New Roman" w:hAnsi="Times New Roman" w:eastAsia="楷体" w:cs="Times New Roman"/>
              <w:b w:val="0"/>
              <w:bCs w:val="0"/>
              <w:sz w:val="24"/>
              <w:szCs w:val="24"/>
              <w:lang w:val="en-US" w:eastAsia="zh-CN"/>
            </w:rPr>
            <w:t>（二）城市道路</w:t>
          </w:r>
          <w:r>
            <w:rPr>
              <w:rFonts w:hint="default" w:ascii="Times New Roman" w:hAnsi="Times New Roman" w:eastAsia="楷体" w:cs="Times New Roman"/>
              <w:b w:val="0"/>
              <w:bCs w:val="0"/>
              <w:sz w:val="24"/>
              <w:szCs w:val="24"/>
            </w:rPr>
            <w:tab/>
          </w:r>
          <w:r>
            <w:rPr>
              <w:rFonts w:hint="default" w:ascii="Times New Roman" w:hAnsi="Times New Roman" w:eastAsia="楷体" w:cs="Times New Roman"/>
              <w:b w:val="0"/>
              <w:bCs w:val="0"/>
              <w:sz w:val="24"/>
              <w:szCs w:val="24"/>
            </w:rPr>
            <w:fldChar w:fldCharType="begin"/>
          </w:r>
          <w:r>
            <w:rPr>
              <w:rFonts w:hint="default" w:ascii="Times New Roman" w:hAnsi="Times New Roman" w:eastAsia="楷体" w:cs="Times New Roman"/>
              <w:b w:val="0"/>
              <w:bCs w:val="0"/>
              <w:sz w:val="24"/>
              <w:szCs w:val="24"/>
            </w:rPr>
            <w:instrText xml:space="preserve"> PAGEREF _Toc31021 \h </w:instrText>
          </w:r>
          <w:r>
            <w:rPr>
              <w:rFonts w:hint="default" w:ascii="Times New Roman" w:hAnsi="Times New Roman" w:eastAsia="楷体" w:cs="Times New Roman"/>
              <w:b w:val="0"/>
              <w:bCs w:val="0"/>
              <w:sz w:val="24"/>
              <w:szCs w:val="24"/>
            </w:rPr>
            <w:fldChar w:fldCharType="separate"/>
          </w:r>
          <w:r>
            <w:rPr>
              <w:rFonts w:hint="default" w:ascii="Times New Roman" w:hAnsi="Times New Roman" w:eastAsia="楷体" w:cs="Times New Roman"/>
              <w:b w:val="0"/>
              <w:bCs w:val="0"/>
              <w:sz w:val="24"/>
              <w:szCs w:val="24"/>
            </w:rPr>
            <w:t>21</w:t>
          </w:r>
          <w:r>
            <w:rPr>
              <w:rFonts w:hint="default" w:ascii="Times New Roman" w:hAnsi="Times New Roman" w:eastAsia="楷体" w:cs="Times New Roman"/>
              <w:b w:val="0"/>
              <w:bCs w:val="0"/>
              <w:sz w:val="24"/>
              <w:szCs w:val="24"/>
            </w:rPr>
            <w:fldChar w:fldCharType="end"/>
          </w:r>
          <w:r>
            <w:rPr>
              <w:rFonts w:hint="default" w:ascii="Times New Roman" w:hAnsi="Times New Roman" w:eastAsia="楷体" w:cs="Times New Roman"/>
              <w:b w:val="0"/>
              <w:bCs w:val="0"/>
              <w:sz w:val="24"/>
              <w:szCs w:val="24"/>
              <w:lang w:val="en-US" w:eastAsia="zh-CN"/>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b w:val="0"/>
              <w:bCs w:val="0"/>
              <w:sz w:val="24"/>
              <w:szCs w:val="24"/>
            </w:rPr>
          </w:pPr>
          <w:r>
            <w:rPr>
              <w:rFonts w:hint="default" w:ascii="Times New Roman" w:hAnsi="Times New Roman" w:eastAsia="黑体" w:cs="Times New Roman"/>
              <w:b w:val="0"/>
              <w:bCs w:val="0"/>
              <w:sz w:val="24"/>
              <w:szCs w:val="24"/>
              <w:lang w:val="en-US" w:eastAsia="zh-CN"/>
            </w:rPr>
            <w:fldChar w:fldCharType="begin"/>
          </w:r>
          <w:r>
            <w:rPr>
              <w:rFonts w:hint="default" w:ascii="Times New Roman" w:hAnsi="Times New Roman" w:eastAsia="黑体" w:cs="Times New Roman"/>
              <w:b w:val="0"/>
              <w:bCs w:val="0"/>
              <w:sz w:val="24"/>
              <w:szCs w:val="24"/>
              <w:lang w:val="en-US" w:eastAsia="zh-CN"/>
            </w:rPr>
            <w:instrText xml:space="preserve"> HYPERLINK \l _Toc27661 </w:instrText>
          </w:r>
          <w:r>
            <w:rPr>
              <w:rFonts w:hint="default" w:ascii="Times New Roman" w:hAnsi="Times New Roman" w:eastAsia="黑体" w:cs="Times New Roman"/>
              <w:b w:val="0"/>
              <w:bCs w:val="0"/>
              <w:sz w:val="24"/>
              <w:szCs w:val="24"/>
              <w:lang w:val="en-US" w:eastAsia="zh-CN"/>
            </w:rPr>
            <w:fldChar w:fldCharType="separate"/>
          </w:r>
          <w:r>
            <w:rPr>
              <w:rFonts w:hint="default" w:ascii="Times New Roman" w:hAnsi="Times New Roman" w:eastAsia="黑体" w:cs="Times New Roman"/>
              <w:b w:val="0"/>
              <w:bCs w:val="0"/>
              <w:sz w:val="24"/>
              <w:szCs w:val="24"/>
              <w:lang w:val="en-US" w:eastAsia="zh-CN"/>
            </w:rPr>
            <w:t>六、城市居民绿色生态需求</w:t>
          </w:r>
          <w:r>
            <w:rPr>
              <w:rFonts w:hint="default" w:ascii="Times New Roman" w:hAnsi="Times New Roman" w:eastAsia="黑体" w:cs="Times New Roman"/>
              <w:b w:val="0"/>
              <w:bCs w:val="0"/>
              <w:sz w:val="24"/>
              <w:szCs w:val="24"/>
              <w:lang w:val="en-US" w:eastAsia="zh-CN"/>
            </w:rPr>
            <w:tab/>
          </w:r>
          <w:r>
            <w:rPr>
              <w:rFonts w:hint="default" w:ascii="Times New Roman" w:hAnsi="Times New Roman" w:eastAsia="黑体" w:cs="Times New Roman"/>
              <w:b w:val="0"/>
              <w:bCs w:val="0"/>
              <w:sz w:val="24"/>
              <w:szCs w:val="24"/>
              <w:lang w:val="en-US" w:eastAsia="zh-CN"/>
            </w:rPr>
            <w:fldChar w:fldCharType="begin"/>
          </w:r>
          <w:r>
            <w:rPr>
              <w:rFonts w:hint="default" w:ascii="Times New Roman" w:hAnsi="Times New Roman" w:eastAsia="黑体" w:cs="Times New Roman"/>
              <w:b w:val="0"/>
              <w:bCs w:val="0"/>
              <w:sz w:val="24"/>
              <w:szCs w:val="24"/>
              <w:lang w:val="en-US" w:eastAsia="zh-CN"/>
            </w:rPr>
            <w:instrText xml:space="preserve"> PAGEREF _Toc27661 \h </w:instrText>
          </w:r>
          <w:r>
            <w:rPr>
              <w:rFonts w:hint="default" w:ascii="Times New Roman" w:hAnsi="Times New Roman" w:eastAsia="黑体" w:cs="Times New Roman"/>
              <w:b w:val="0"/>
              <w:bCs w:val="0"/>
              <w:sz w:val="24"/>
              <w:szCs w:val="24"/>
              <w:lang w:val="en-US" w:eastAsia="zh-CN"/>
            </w:rPr>
            <w:fldChar w:fldCharType="separate"/>
          </w:r>
          <w:r>
            <w:rPr>
              <w:rFonts w:hint="default" w:ascii="Times New Roman" w:hAnsi="Times New Roman" w:eastAsia="黑体" w:cs="Times New Roman"/>
              <w:b w:val="0"/>
              <w:bCs w:val="0"/>
              <w:sz w:val="24"/>
              <w:szCs w:val="24"/>
              <w:lang w:val="en-US" w:eastAsia="zh-CN"/>
            </w:rPr>
            <w:t>22</w:t>
          </w:r>
          <w:r>
            <w:rPr>
              <w:rFonts w:hint="default" w:ascii="Times New Roman" w:hAnsi="Times New Roman" w:eastAsia="黑体" w:cs="Times New Roman"/>
              <w:b w:val="0"/>
              <w:bCs w:val="0"/>
              <w:sz w:val="24"/>
              <w:szCs w:val="24"/>
              <w:lang w:val="en-US" w:eastAsia="zh-CN"/>
            </w:rPr>
            <w:fldChar w:fldCharType="end"/>
          </w:r>
          <w:r>
            <w:rPr>
              <w:rFonts w:hint="default" w:ascii="Times New Roman" w:hAnsi="Times New Roman" w:eastAsia="黑体" w:cs="Times New Roman"/>
              <w:b w:val="0"/>
              <w:bCs w:val="0"/>
              <w:sz w:val="24"/>
              <w:szCs w:val="24"/>
              <w:lang w:val="en-US" w:eastAsia="zh-CN"/>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lang w:val="en-US" w:eastAsia="zh-CN"/>
            </w:rPr>
            <w:fldChar w:fldCharType="begin"/>
          </w:r>
          <w:r>
            <w:rPr>
              <w:rFonts w:hint="default" w:ascii="Times New Roman" w:hAnsi="Times New Roman" w:eastAsia="楷体" w:cs="Times New Roman"/>
              <w:b w:val="0"/>
              <w:bCs w:val="0"/>
              <w:sz w:val="24"/>
              <w:szCs w:val="24"/>
              <w:lang w:val="en-US" w:eastAsia="zh-CN"/>
            </w:rPr>
            <w:instrText xml:space="preserve"> HYPERLINK \l _Toc24547 </w:instrText>
          </w:r>
          <w:r>
            <w:rPr>
              <w:rFonts w:hint="default" w:ascii="Times New Roman" w:hAnsi="Times New Roman" w:eastAsia="楷体" w:cs="Times New Roman"/>
              <w:b w:val="0"/>
              <w:bCs w:val="0"/>
              <w:sz w:val="24"/>
              <w:szCs w:val="24"/>
              <w:lang w:val="en-US" w:eastAsia="zh-CN"/>
            </w:rPr>
            <w:fldChar w:fldCharType="separate"/>
          </w:r>
          <w:r>
            <w:rPr>
              <w:rFonts w:hint="default" w:ascii="Times New Roman" w:hAnsi="Times New Roman" w:eastAsia="楷体" w:cs="Times New Roman"/>
              <w:b w:val="0"/>
              <w:bCs w:val="0"/>
              <w:sz w:val="24"/>
              <w:szCs w:val="24"/>
              <w:lang w:val="en-US" w:eastAsia="zh-CN"/>
            </w:rPr>
            <w:t>（一）城市建成区绿地面积</w:t>
          </w:r>
          <w:r>
            <w:rPr>
              <w:rFonts w:hint="default" w:ascii="Times New Roman" w:hAnsi="Times New Roman" w:eastAsia="楷体" w:cs="Times New Roman"/>
              <w:b w:val="0"/>
              <w:bCs w:val="0"/>
              <w:sz w:val="24"/>
              <w:szCs w:val="24"/>
            </w:rPr>
            <w:tab/>
          </w:r>
          <w:r>
            <w:rPr>
              <w:rFonts w:hint="default" w:ascii="Times New Roman" w:hAnsi="Times New Roman" w:eastAsia="楷体" w:cs="Times New Roman"/>
              <w:b w:val="0"/>
              <w:bCs w:val="0"/>
              <w:sz w:val="24"/>
              <w:szCs w:val="24"/>
            </w:rPr>
            <w:fldChar w:fldCharType="begin"/>
          </w:r>
          <w:r>
            <w:rPr>
              <w:rFonts w:hint="default" w:ascii="Times New Roman" w:hAnsi="Times New Roman" w:eastAsia="楷体" w:cs="Times New Roman"/>
              <w:b w:val="0"/>
              <w:bCs w:val="0"/>
              <w:sz w:val="24"/>
              <w:szCs w:val="24"/>
            </w:rPr>
            <w:instrText xml:space="preserve"> PAGEREF _Toc24547 \h </w:instrText>
          </w:r>
          <w:r>
            <w:rPr>
              <w:rFonts w:hint="default" w:ascii="Times New Roman" w:hAnsi="Times New Roman" w:eastAsia="楷体" w:cs="Times New Roman"/>
              <w:b w:val="0"/>
              <w:bCs w:val="0"/>
              <w:sz w:val="24"/>
              <w:szCs w:val="24"/>
            </w:rPr>
            <w:fldChar w:fldCharType="separate"/>
          </w:r>
          <w:r>
            <w:rPr>
              <w:rFonts w:hint="default" w:ascii="Times New Roman" w:hAnsi="Times New Roman" w:eastAsia="楷体" w:cs="Times New Roman"/>
              <w:b w:val="0"/>
              <w:bCs w:val="0"/>
              <w:sz w:val="24"/>
              <w:szCs w:val="24"/>
            </w:rPr>
            <w:t>22</w:t>
          </w:r>
          <w:r>
            <w:rPr>
              <w:rFonts w:hint="default" w:ascii="Times New Roman" w:hAnsi="Times New Roman" w:eastAsia="楷体" w:cs="Times New Roman"/>
              <w:b w:val="0"/>
              <w:bCs w:val="0"/>
              <w:sz w:val="24"/>
              <w:szCs w:val="24"/>
            </w:rPr>
            <w:fldChar w:fldCharType="end"/>
          </w:r>
          <w:r>
            <w:rPr>
              <w:rFonts w:hint="default" w:ascii="Times New Roman" w:hAnsi="Times New Roman" w:eastAsia="楷体" w:cs="Times New Roman"/>
              <w:b w:val="0"/>
              <w:bCs w:val="0"/>
              <w:sz w:val="24"/>
              <w:szCs w:val="24"/>
              <w:lang w:val="en-US" w:eastAsia="zh-CN"/>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lang w:val="en-US" w:eastAsia="zh-CN"/>
            </w:rPr>
            <w:fldChar w:fldCharType="begin"/>
          </w:r>
          <w:r>
            <w:rPr>
              <w:rFonts w:hint="default" w:ascii="Times New Roman" w:hAnsi="Times New Roman" w:eastAsia="楷体" w:cs="Times New Roman"/>
              <w:b w:val="0"/>
              <w:bCs w:val="0"/>
              <w:sz w:val="24"/>
              <w:szCs w:val="24"/>
              <w:lang w:val="en-US" w:eastAsia="zh-CN"/>
            </w:rPr>
            <w:instrText xml:space="preserve"> HYPERLINK \l _Toc23089 </w:instrText>
          </w:r>
          <w:r>
            <w:rPr>
              <w:rFonts w:hint="default" w:ascii="Times New Roman" w:hAnsi="Times New Roman" w:eastAsia="楷体" w:cs="Times New Roman"/>
              <w:b w:val="0"/>
              <w:bCs w:val="0"/>
              <w:sz w:val="24"/>
              <w:szCs w:val="24"/>
              <w:lang w:val="en-US" w:eastAsia="zh-CN"/>
            </w:rPr>
            <w:fldChar w:fldCharType="separate"/>
          </w:r>
          <w:r>
            <w:rPr>
              <w:rFonts w:hint="default" w:ascii="Times New Roman" w:hAnsi="Times New Roman" w:eastAsia="楷体" w:cs="Times New Roman"/>
              <w:b w:val="0"/>
              <w:bCs w:val="0"/>
              <w:sz w:val="24"/>
              <w:szCs w:val="24"/>
              <w:lang w:val="en-US" w:eastAsia="zh-CN"/>
            </w:rPr>
            <w:t>（二）城市建成区绿地率</w:t>
          </w:r>
          <w:r>
            <w:rPr>
              <w:rFonts w:hint="default" w:ascii="Times New Roman" w:hAnsi="Times New Roman" w:eastAsia="楷体" w:cs="Times New Roman"/>
              <w:b w:val="0"/>
              <w:bCs w:val="0"/>
              <w:sz w:val="24"/>
              <w:szCs w:val="24"/>
            </w:rPr>
            <w:tab/>
          </w:r>
          <w:r>
            <w:rPr>
              <w:rFonts w:hint="default" w:ascii="Times New Roman" w:hAnsi="Times New Roman" w:eastAsia="楷体" w:cs="Times New Roman"/>
              <w:b w:val="0"/>
              <w:bCs w:val="0"/>
              <w:sz w:val="24"/>
              <w:szCs w:val="24"/>
            </w:rPr>
            <w:fldChar w:fldCharType="begin"/>
          </w:r>
          <w:r>
            <w:rPr>
              <w:rFonts w:hint="default" w:ascii="Times New Roman" w:hAnsi="Times New Roman" w:eastAsia="楷体" w:cs="Times New Roman"/>
              <w:b w:val="0"/>
              <w:bCs w:val="0"/>
              <w:sz w:val="24"/>
              <w:szCs w:val="24"/>
            </w:rPr>
            <w:instrText xml:space="preserve"> PAGEREF _Toc23089 \h </w:instrText>
          </w:r>
          <w:r>
            <w:rPr>
              <w:rFonts w:hint="default" w:ascii="Times New Roman" w:hAnsi="Times New Roman" w:eastAsia="楷体" w:cs="Times New Roman"/>
              <w:b w:val="0"/>
              <w:bCs w:val="0"/>
              <w:sz w:val="24"/>
              <w:szCs w:val="24"/>
            </w:rPr>
            <w:fldChar w:fldCharType="separate"/>
          </w:r>
          <w:r>
            <w:rPr>
              <w:rFonts w:hint="default" w:ascii="Times New Roman" w:hAnsi="Times New Roman" w:eastAsia="楷体" w:cs="Times New Roman"/>
              <w:b w:val="0"/>
              <w:bCs w:val="0"/>
              <w:sz w:val="24"/>
              <w:szCs w:val="24"/>
            </w:rPr>
            <w:t>23</w:t>
          </w:r>
          <w:r>
            <w:rPr>
              <w:rFonts w:hint="default" w:ascii="Times New Roman" w:hAnsi="Times New Roman" w:eastAsia="楷体" w:cs="Times New Roman"/>
              <w:b w:val="0"/>
              <w:bCs w:val="0"/>
              <w:sz w:val="24"/>
              <w:szCs w:val="24"/>
            </w:rPr>
            <w:fldChar w:fldCharType="end"/>
          </w:r>
          <w:r>
            <w:rPr>
              <w:rFonts w:hint="default" w:ascii="Times New Roman" w:hAnsi="Times New Roman" w:eastAsia="楷体" w:cs="Times New Roman"/>
              <w:b w:val="0"/>
              <w:bCs w:val="0"/>
              <w:sz w:val="24"/>
              <w:szCs w:val="24"/>
              <w:lang w:val="en-US" w:eastAsia="zh-CN"/>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lang w:val="en-US" w:eastAsia="zh-CN"/>
            </w:rPr>
            <w:fldChar w:fldCharType="begin"/>
          </w:r>
          <w:r>
            <w:rPr>
              <w:rFonts w:hint="default" w:ascii="Times New Roman" w:hAnsi="Times New Roman" w:eastAsia="楷体" w:cs="Times New Roman"/>
              <w:b w:val="0"/>
              <w:bCs w:val="0"/>
              <w:sz w:val="24"/>
              <w:szCs w:val="24"/>
              <w:lang w:val="en-US" w:eastAsia="zh-CN"/>
            </w:rPr>
            <w:instrText xml:space="preserve"> HYPERLINK \l _Toc30788 </w:instrText>
          </w:r>
          <w:r>
            <w:rPr>
              <w:rFonts w:hint="default" w:ascii="Times New Roman" w:hAnsi="Times New Roman" w:eastAsia="楷体" w:cs="Times New Roman"/>
              <w:b w:val="0"/>
              <w:bCs w:val="0"/>
              <w:sz w:val="24"/>
              <w:szCs w:val="24"/>
              <w:lang w:val="en-US" w:eastAsia="zh-CN"/>
            </w:rPr>
            <w:fldChar w:fldCharType="separate"/>
          </w:r>
          <w:r>
            <w:rPr>
              <w:rFonts w:hint="default" w:ascii="Times New Roman" w:hAnsi="Times New Roman" w:eastAsia="楷体" w:cs="Times New Roman"/>
              <w:b w:val="0"/>
              <w:bCs w:val="0"/>
              <w:sz w:val="24"/>
              <w:szCs w:val="24"/>
              <w:lang w:val="en-US" w:eastAsia="zh-CN"/>
            </w:rPr>
            <w:t>（三）城市人均公园绿地面积</w:t>
          </w:r>
          <w:r>
            <w:rPr>
              <w:rFonts w:hint="default" w:ascii="Times New Roman" w:hAnsi="Times New Roman" w:eastAsia="楷体" w:cs="Times New Roman"/>
              <w:b w:val="0"/>
              <w:bCs w:val="0"/>
              <w:sz w:val="24"/>
              <w:szCs w:val="24"/>
            </w:rPr>
            <w:tab/>
          </w:r>
          <w:r>
            <w:rPr>
              <w:rFonts w:hint="default" w:ascii="Times New Roman" w:hAnsi="Times New Roman" w:eastAsia="楷体" w:cs="Times New Roman"/>
              <w:b w:val="0"/>
              <w:bCs w:val="0"/>
              <w:sz w:val="24"/>
              <w:szCs w:val="24"/>
            </w:rPr>
            <w:fldChar w:fldCharType="begin"/>
          </w:r>
          <w:r>
            <w:rPr>
              <w:rFonts w:hint="default" w:ascii="Times New Roman" w:hAnsi="Times New Roman" w:eastAsia="楷体" w:cs="Times New Roman"/>
              <w:b w:val="0"/>
              <w:bCs w:val="0"/>
              <w:sz w:val="24"/>
              <w:szCs w:val="24"/>
            </w:rPr>
            <w:instrText xml:space="preserve"> PAGEREF _Toc30788 \h </w:instrText>
          </w:r>
          <w:r>
            <w:rPr>
              <w:rFonts w:hint="default" w:ascii="Times New Roman" w:hAnsi="Times New Roman" w:eastAsia="楷体" w:cs="Times New Roman"/>
              <w:b w:val="0"/>
              <w:bCs w:val="0"/>
              <w:sz w:val="24"/>
              <w:szCs w:val="24"/>
            </w:rPr>
            <w:fldChar w:fldCharType="separate"/>
          </w:r>
          <w:r>
            <w:rPr>
              <w:rFonts w:hint="default" w:ascii="Times New Roman" w:hAnsi="Times New Roman" w:eastAsia="楷体" w:cs="Times New Roman"/>
              <w:b w:val="0"/>
              <w:bCs w:val="0"/>
              <w:sz w:val="24"/>
              <w:szCs w:val="24"/>
            </w:rPr>
            <w:t>24</w:t>
          </w:r>
          <w:r>
            <w:rPr>
              <w:rFonts w:hint="default" w:ascii="Times New Roman" w:hAnsi="Times New Roman" w:eastAsia="楷体" w:cs="Times New Roman"/>
              <w:b w:val="0"/>
              <w:bCs w:val="0"/>
              <w:sz w:val="24"/>
              <w:szCs w:val="24"/>
            </w:rPr>
            <w:fldChar w:fldCharType="end"/>
          </w:r>
          <w:r>
            <w:rPr>
              <w:rFonts w:hint="default" w:ascii="Times New Roman" w:hAnsi="Times New Roman" w:eastAsia="楷体" w:cs="Times New Roman"/>
              <w:b w:val="0"/>
              <w:bCs w:val="0"/>
              <w:sz w:val="24"/>
              <w:szCs w:val="24"/>
              <w:lang w:val="en-US" w:eastAsia="zh-CN"/>
            </w:rPr>
            <w:fldChar w:fldCharType="end"/>
          </w:r>
        </w:p>
        <w:p>
          <w:pPr>
            <w:numPr>
              <w:ilvl w:val="0"/>
              <w:numId w:val="0"/>
            </w:numPr>
            <w:rPr>
              <w:rFonts w:hint="eastAsia" w:ascii="宋体" w:hAnsi="宋体" w:eastAsia="宋体" w:cs="宋体"/>
              <w:sz w:val="24"/>
              <w:szCs w:val="24"/>
              <w:lang w:val="en-US" w:eastAsia="zh-CN"/>
            </w:rPr>
          </w:pPr>
          <w:r>
            <w:rPr>
              <w:rFonts w:hint="default" w:ascii="Times New Roman" w:hAnsi="Times New Roman" w:eastAsia="楷体" w:cs="Times New Roman"/>
              <w:b w:val="0"/>
              <w:bCs w:val="0"/>
              <w:sz w:val="24"/>
              <w:szCs w:val="24"/>
              <w:lang w:val="en-US" w:eastAsia="zh-CN"/>
            </w:rPr>
            <w:fldChar w:fldCharType="end"/>
          </w:r>
        </w:p>
      </w:sdtContent>
    </w:sdt>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default" w:ascii="黑体" w:hAnsi="黑体" w:eastAsia="黑体" w:cs="黑体"/>
          <w:sz w:val="32"/>
          <w:szCs w:val="32"/>
          <w:lang w:val="en-US" w:eastAsia="zh-CN"/>
        </w:rPr>
      </w:pPr>
      <w:bookmarkStart w:id="0" w:name="_Toc12428"/>
      <w:r>
        <w:rPr>
          <w:rFonts w:hint="eastAsia" w:ascii="黑体" w:hAnsi="黑体" w:eastAsia="黑体" w:cs="黑体"/>
          <w:sz w:val="32"/>
          <w:szCs w:val="32"/>
          <w:lang w:val="en-US" w:eastAsia="zh-CN"/>
        </w:rPr>
        <w:t>概述</w:t>
      </w:r>
      <w:bookmarkEnd w:id="0"/>
    </w:p>
    <w:p>
      <w:pPr>
        <w:pStyle w:val="2"/>
        <w:spacing w:line="360" w:lineRule="auto"/>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城市（县城）和村镇建设统计调查制度》有关规定，住房和城乡建设部组织开展了2021年全国城市和县城建设统计调查，统计调查的标准时点为2021年12月31日，时期为2021年。本公报统计调查对象为设市城市的规划、建设、管理和经营城市市政公用设施的各级住房和城乡建设管理部门、法人单位、产业活动单位。本次统计调查由住房和城乡建设部统一组织，分级实施，由各级城乡建设统计主管部门负责本辖区内数据的审核、汇总和上报。</w:t>
      </w:r>
    </w:p>
    <w:p>
      <w:pPr>
        <w:numPr>
          <w:ilvl w:val="0"/>
          <w:numId w:val="0"/>
        </w:numPr>
        <w:ind w:firstLine="640" w:firstLineChars="200"/>
        <w:rPr>
          <w:rFonts w:hint="default" w:ascii="黑体" w:hAnsi="黑体" w:eastAsia="黑体" w:cs="黑体"/>
          <w:sz w:val="32"/>
          <w:szCs w:val="32"/>
          <w:lang w:val="en-US" w:eastAsia="zh-CN"/>
        </w:rPr>
      </w:pPr>
      <w:r>
        <w:rPr>
          <w:rFonts w:hint="eastAsia" w:ascii="楷体" w:hAnsi="楷体" w:eastAsia="楷体" w:cs="楷体"/>
          <w:sz w:val="32"/>
          <w:szCs w:val="32"/>
          <w:lang w:val="en-US" w:eastAsia="zh-CN"/>
        </w:rPr>
        <w:t>城市基本情况方面，</w:t>
      </w:r>
      <w:r>
        <w:rPr>
          <w:rFonts w:hint="eastAsia" w:ascii="仿宋_GB2312" w:hAnsi="仿宋_GB2312" w:eastAsia="仿宋_GB2312" w:cs="仿宋_GB2312"/>
          <w:sz w:val="32"/>
          <w:szCs w:val="40"/>
          <w:u w:val="none"/>
          <w:lang w:val="en-US" w:eastAsia="zh-CN"/>
        </w:rPr>
        <w:t>2021年年末，全国城市建成区面积6.24万平方公里，同比增长2.80%；全国城市城区人口5.59亿人，同比增长4.03%。</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市政设施固定资产投资方面，</w:t>
      </w:r>
      <w:r>
        <w:rPr>
          <w:rFonts w:hint="eastAsia" w:ascii="仿宋_GB2312" w:hAnsi="仿宋_GB2312" w:eastAsia="仿宋_GB2312" w:cs="仿宋_GB2312"/>
          <w:sz w:val="32"/>
          <w:szCs w:val="40"/>
          <w:u w:val="none"/>
          <w:lang w:val="en-US" w:eastAsia="zh-CN"/>
        </w:rPr>
        <w:t>2021年，全国</w:t>
      </w:r>
      <w:r>
        <w:rPr>
          <w:rFonts w:hint="eastAsia" w:ascii="仿宋_GB2312" w:hAnsi="仿宋_GB2312" w:eastAsia="仿宋_GB2312" w:cs="仿宋_GB2312"/>
          <w:color w:val="000000" w:themeColor="text1"/>
          <w:sz w:val="32"/>
          <w:szCs w:val="40"/>
          <w14:textFill>
            <w14:solidFill>
              <w14:schemeClr w14:val="tx1"/>
            </w14:solidFill>
          </w14:textFill>
        </w:rPr>
        <w:t>市政设施固定资产投资2.7</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40"/>
          <w14:textFill>
            <w14:solidFill>
              <w14:schemeClr w14:val="tx1"/>
            </w14:solidFill>
          </w14:textFill>
        </w:rPr>
        <w:t>万亿元，同比增长</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4.93</w:t>
      </w:r>
      <w:r>
        <w:rPr>
          <w:rFonts w:hint="eastAsia" w:ascii="仿宋_GB2312" w:hAnsi="仿宋_GB2312" w:eastAsia="仿宋_GB2312" w:cs="仿宋_GB2312"/>
          <w:color w:val="000000" w:themeColor="text1"/>
          <w:sz w:val="32"/>
          <w:szCs w:val="40"/>
          <w14:textFill>
            <w14:solidFill>
              <w14:schemeClr w14:val="tx1"/>
            </w14:solidFill>
          </w14:textFill>
        </w:rPr>
        <w:t>%</w:t>
      </w:r>
      <w:r>
        <w:rPr>
          <w:rFonts w:hint="eastAsia" w:ascii="仿宋_GB2312" w:hAnsi="仿宋_GB2312" w:eastAsia="仿宋_GB2312" w:cs="仿宋_GB2312"/>
          <w:color w:val="000000" w:themeColor="text1"/>
          <w:sz w:val="32"/>
          <w:szCs w:val="40"/>
          <w:lang w:eastAsia="zh-CN"/>
          <w14:textFill>
            <w14:solidFill>
              <w14:schemeClr w14:val="tx1"/>
            </w14:solidFill>
          </w14:textFill>
        </w:rPr>
        <w:t>；</w:t>
      </w:r>
      <w:r>
        <w:rPr>
          <w:rFonts w:hint="eastAsia" w:ascii="仿宋_GB2312" w:hAnsi="仿宋_GB2312" w:eastAsia="仿宋_GB2312" w:cs="仿宋_GB2312"/>
          <w:sz w:val="32"/>
          <w:szCs w:val="40"/>
          <w:u w:val="none"/>
          <w:lang w:val="en-US" w:eastAsia="zh-CN"/>
        </w:rPr>
        <w:t>全国市政设施实际到位资金合计3.07万亿元，同比增长11.11%。</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城市居民生活需求方面，</w:t>
      </w:r>
      <w:r>
        <w:rPr>
          <w:rFonts w:hint="eastAsia" w:ascii="仿宋_GB2312" w:hAnsi="仿宋_GB2312" w:eastAsia="仿宋_GB2312" w:cs="仿宋_GB2312"/>
          <w:sz w:val="32"/>
          <w:szCs w:val="40"/>
          <w:u w:val="none"/>
          <w:lang w:val="en-US" w:eastAsia="zh-CN"/>
        </w:rPr>
        <w:t>2021年，城市人均日生活用水量185.03升；供水普及率99.38%，比上年增加0.39个百分点。燃气普及率98.04%，比上年增加0.17个百分点；管道燃气普及率79.84%，比上年增加2.00个百分点。集中供热面积106.03亿平方米，同比增长7.30%。</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城市居民环境卫生需求方面，</w:t>
      </w:r>
      <w:r>
        <w:rPr>
          <w:rFonts w:hint="eastAsia" w:ascii="仿宋_GB2312" w:hAnsi="仿宋_GB2312" w:eastAsia="仿宋_GB2312" w:cs="仿宋_GB2312"/>
          <w:sz w:val="32"/>
          <w:szCs w:val="40"/>
          <w:u w:val="none"/>
          <w:lang w:val="en-US" w:eastAsia="zh-CN"/>
        </w:rPr>
        <w:t>2021年年末，全国城市排水管道总长度87.2万公里，同比增长8.7%；污水处理厂处理能力2.1亿立方米/日，同比增长7.8%；生活污水集中收集率68.6%，比上年增加3.8个百分点；生活垃圾无害化处理率99.88%，比上年增加0.14个百分点；生活垃圾无害化处理能力105.7万吨/日，同比增长9.7%，其中，焚烧处理能力占比为68.1%。</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城市居民出行需求方面，</w:t>
      </w:r>
      <w:r>
        <w:rPr>
          <w:rFonts w:hint="eastAsia" w:ascii="仿宋_GB2312" w:hAnsi="仿宋_GB2312" w:eastAsia="仿宋_GB2312" w:cs="仿宋_GB2312"/>
          <w:sz w:val="32"/>
          <w:szCs w:val="40"/>
          <w:u w:val="none"/>
          <w:lang w:val="en-US" w:eastAsia="zh-CN"/>
        </w:rPr>
        <w:t>2021年年末，全国城市已建成轨道交通8571.4公里，同比增长12.8%；在建轨道交通5172.3公里，同比增长1.5%；道路面积105.4亿平方米，同比增长8.6%；道路长度53.2万公里，同比增长8.1%；人均道路面积18.8平方米，同比增长4.4%。</w:t>
      </w:r>
    </w:p>
    <w:p>
      <w:pPr>
        <w:ind w:firstLine="640" w:firstLineChars="200"/>
        <w:rPr>
          <w:rFonts w:hint="eastAsia" w:ascii="仿宋_GB2312" w:hAnsi="仿宋_GB2312" w:eastAsia="仿宋_GB2312" w:cs="仿宋_GB2312"/>
          <w:sz w:val="32"/>
          <w:szCs w:val="40"/>
          <w:u w:val="none"/>
          <w:lang w:val="en-US" w:eastAsia="zh-CN"/>
        </w:rPr>
      </w:pPr>
      <w:r>
        <w:rPr>
          <w:rFonts w:hint="eastAsia" w:ascii="楷体" w:hAnsi="楷体" w:eastAsia="楷体" w:cs="楷体"/>
          <w:sz w:val="32"/>
          <w:szCs w:val="32"/>
          <w:lang w:val="en-US" w:eastAsia="zh-CN"/>
        </w:rPr>
        <w:t>城市居民绿色生态需求方面，</w:t>
      </w:r>
      <w:r>
        <w:rPr>
          <w:rFonts w:hint="eastAsia" w:ascii="仿宋_GB2312" w:hAnsi="仿宋_GB2312" w:eastAsia="仿宋_GB2312" w:cs="仿宋_GB2312"/>
          <w:sz w:val="32"/>
          <w:szCs w:val="40"/>
          <w:u w:val="none"/>
          <w:lang w:val="en-US" w:eastAsia="zh-CN"/>
        </w:rPr>
        <w:t>2021年年末，全国城市建成区绿地面积249.25万公顷，同比增长3.94%；建成区绿地率38.70%，比上年增加0.46个百分点；人均公园绿地面积14.87平方米，比上年增加0.09平方米。</w:t>
      </w:r>
    </w:p>
    <w:p>
      <w:pPr>
        <w:ind w:firstLine="640" w:firstLineChars="200"/>
        <w:rPr>
          <w:rFonts w:hint="eastAsia" w:ascii="仿宋_GB2312" w:hAnsi="仿宋_GB2312" w:eastAsia="仿宋_GB2312" w:cs="仿宋_GB2312"/>
          <w:sz w:val="32"/>
          <w:szCs w:val="40"/>
          <w:u w:val="none"/>
          <w:lang w:val="en-US" w:eastAsia="zh-CN"/>
        </w:rPr>
      </w:pPr>
    </w:p>
    <w:p>
      <w:pPr>
        <w:numPr>
          <w:ilvl w:val="0"/>
          <w:numId w:val="0"/>
        </w:numPr>
        <w:ind w:firstLine="640" w:firstLineChars="200"/>
        <w:rPr>
          <w:rFonts w:hint="eastAsia" w:ascii="仿宋_GB2312" w:hAnsi="仿宋_GB2312" w:eastAsia="仿宋_GB2312" w:cs="仿宋_GB2312"/>
          <w:sz w:val="32"/>
          <w:szCs w:val="40"/>
          <w:u w:val="none"/>
          <w:lang w:val="en-US" w:eastAsia="zh-CN"/>
        </w:rPr>
      </w:pPr>
    </w:p>
    <w:p>
      <w:pPr>
        <w:numPr>
          <w:ilvl w:val="0"/>
          <w:numId w:val="0"/>
        </w:numPr>
        <w:ind w:firstLine="640" w:firstLineChars="200"/>
        <w:rPr>
          <w:rFonts w:hint="default" w:ascii="仿宋_GB2312" w:hAnsi="仿宋_GB2312" w:eastAsia="仿宋_GB2312" w:cs="仿宋_GB2312"/>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outlineLvl w:val="0"/>
        <w:rPr>
          <w:rFonts w:hint="default" w:ascii="黑体" w:hAnsi="黑体" w:eastAsia="黑体" w:cs="黑体"/>
          <w:sz w:val="32"/>
          <w:szCs w:val="32"/>
          <w:lang w:val="en-US" w:eastAsia="zh-CN"/>
        </w:rPr>
      </w:pPr>
      <w:bookmarkStart w:id="1" w:name="_Toc5455"/>
      <w:r>
        <w:rPr>
          <w:rFonts w:hint="eastAsia" w:ascii="黑体" w:hAnsi="黑体" w:eastAsia="黑体" w:cs="黑体"/>
          <w:sz w:val="32"/>
          <w:szCs w:val="32"/>
          <w:lang w:val="en-US" w:eastAsia="zh-CN"/>
        </w:rPr>
        <w:t>一、城市基本情况</w:t>
      </w:r>
      <w:bookmarkEnd w:id="1"/>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楷体" w:hAnsi="楷体" w:eastAsia="楷体" w:cs="楷体"/>
          <w:sz w:val="32"/>
          <w:szCs w:val="40"/>
          <w:lang w:val="en-US" w:eastAsia="zh-CN"/>
        </w:rPr>
      </w:pPr>
      <w:bookmarkStart w:id="2" w:name="_Toc12813"/>
      <w:r>
        <w:rPr>
          <w:rFonts w:hint="eastAsia" w:ascii="楷体" w:hAnsi="楷体" w:eastAsia="楷体" w:cs="楷体"/>
          <w:sz w:val="32"/>
          <w:szCs w:val="40"/>
          <w:lang w:val="en-US" w:eastAsia="zh-CN"/>
        </w:rPr>
        <w:t>（一）城市建成区面积</w:t>
      </w:r>
      <w:bookmarkEnd w:id="2"/>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2021年年末，全国城市建成区面积6.24万平方公里，同比增长2.80%。</w:t>
      </w:r>
    </w:p>
    <w:p>
      <w:pPr>
        <w:numPr>
          <w:ilvl w:val="0"/>
          <w:numId w:val="0"/>
        </w:numPr>
        <w:ind w:firstLine="420" w:firstLineChars="200"/>
      </w:pPr>
      <w:r>
        <w:drawing>
          <wp:inline distT="0" distB="0" distL="114300" distR="114300">
            <wp:extent cx="4911725" cy="1873250"/>
            <wp:effectExtent l="0" t="0" r="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从行政分区看，广东和山东城市建成区面积超过5000平方公里；江苏、四川、浙江、河南、湖北、辽宁、安徽、河北和湖南9个省份超过2000平方公里；黑龙江、福建、江西、广西、重庆、吉林、陕西、新疆、内蒙古、山西、云南、上海、天津和贵州14个省（区、市）超过1000平方公里；甘肃超过500平方公里；宁夏、海南、青海、西藏4个省（区）和新疆生产建设兵团（以下简称新疆兵团）不足500平方公里。</w:t>
      </w:r>
    </w:p>
    <w:p>
      <w:pPr>
        <w:numPr>
          <w:ilvl w:val="0"/>
          <w:numId w:val="0"/>
        </w:numPr>
      </w:pPr>
      <w:r>
        <w:drawing>
          <wp:inline distT="0" distB="0" distL="114300" distR="114300">
            <wp:extent cx="5335270" cy="1908175"/>
            <wp:effectExtent l="0" t="0" r="0" b="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楷体" w:hAnsi="楷体" w:eastAsia="楷体" w:cs="楷体"/>
          <w:sz w:val="32"/>
          <w:szCs w:val="40"/>
          <w:lang w:val="en-US" w:eastAsia="zh-CN"/>
        </w:rPr>
      </w:pPr>
      <w:bookmarkStart w:id="3" w:name="_Toc1457"/>
      <w:r>
        <w:rPr>
          <w:rFonts w:hint="eastAsia" w:ascii="楷体" w:hAnsi="楷体" w:eastAsia="楷体" w:cs="楷体"/>
          <w:sz w:val="32"/>
          <w:szCs w:val="40"/>
          <w:lang w:val="en-US" w:eastAsia="zh-CN"/>
        </w:rPr>
        <w:t>（二）城市城区人口</w:t>
      </w:r>
      <w:bookmarkEnd w:id="3"/>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2021年年末，全国城市城区人口5.59亿人，同比增长4.03%。</w:t>
      </w:r>
    </w:p>
    <w:p>
      <w:pPr>
        <w:numPr>
          <w:ilvl w:val="0"/>
          <w:numId w:val="0"/>
        </w:numPr>
      </w:pPr>
      <w:r>
        <w:drawing>
          <wp:inline distT="0" distB="0" distL="114300" distR="114300">
            <wp:extent cx="5216525" cy="2177415"/>
            <wp:effectExtent l="0" t="0" r="0" b="0"/>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从行政分区看，广东城市城区人口超过5000万人；山东、江苏、浙江、四川、河南、上海、湖北、辽宁和河北9个省（市）超过2000万人（含）；安徽、湖南、北京、重庆、福建、陕西、黑龙江、广西、江西、山西、吉林、天津和云南13个省（区、市）超过1000万人；贵州、内蒙古、新疆和甘肃4个省（区）超过500万人；海南、宁夏、青海、西藏4个省（区）和新疆兵团不足500万人。</w:t>
      </w:r>
    </w:p>
    <w:p>
      <w:pPr>
        <w:numPr>
          <w:ilvl w:val="0"/>
          <w:numId w:val="0"/>
        </w:numPr>
        <w:rPr>
          <w:rFonts w:hint="eastAsia"/>
          <w:lang w:val="en-US" w:eastAsia="zh-CN"/>
        </w:rPr>
      </w:pPr>
      <w:r>
        <w:drawing>
          <wp:inline distT="0" distB="0" distL="114300" distR="114300">
            <wp:extent cx="5271135" cy="2223135"/>
            <wp:effectExtent l="0" t="0" r="0" b="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0"/>
        </w:numPr>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outlineLvl w:val="0"/>
        <w:rPr>
          <w:rFonts w:hint="default" w:ascii="黑体" w:hAnsi="黑体" w:eastAsia="黑体" w:cs="黑体"/>
          <w:sz w:val="32"/>
          <w:szCs w:val="32"/>
          <w:lang w:val="en-US" w:eastAsia="zh-CN"/>
        </w:rPr>
      </w:pPr>
      <w:bookmarkStart w:id="4" w:name="_Toc11354"/>
      <w:r>
        <w:rPr>
          <w:rFonts w:hint="eastAsia" w:ascii="黑体" w:hAnsi="黑体" w:eastAsia="黑体" w:cs="黑体"/>
          <w:sz w:val="32"/>
          <w:szCs w:val="32"/>
          <w:lang w:val="en-US" w:eastAsia="zh-CN"/>
        </w:rPr>
        <w:t>二、市政设施固定资产投资</w:t>
      </w:r>
      <w:bookmarkEnd w:id="4"/>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楷体" w:hAnsi="楷体" w:eastAsia="楷体" w:cs="楷体"/>
          <w:sz w:val="32"/>
          <w:szCs w:val="40"/>
          <w:lang w:val="en-US" w:eastAsia="zh-CN"/>
        </w:rPr>
      </w:pPr>
      <w:bookmarkStart w:id="5" w:name="_Toc13838"/>
      <w:r>
        <w:rPr>
          <w:rFonts w:hint="eastAsia" w:ascii="楷体" w:hAnsi="楷体" w:eastAsia="楷体" w:cs="楷体"/>
          <w:sz w:val="32"/>
          <w:szCs w:val="40"/>
          <w:lang w:val="en-US" w:eastAsia="zh-CN"/>
        </w:rPr>
        <w:t>（一）固定资产投资额</w:t>
      </w:r>
      <w:bookmarkEnd w:id="5"/>
    </w:p>
    <w:p>
      <w:pPr>
        <w:numPr>
          <w:ilvl w:val="0"/>
          <w:numId w:val="0"/>
        </w:numPr>
        <w:ind w:firstLine="640" w:firstLineChars="200"/>
      </w:pPr>
      <w:r>
        <w:rPr>
          <w:rFonts w:hint="eastAsia" w:ascii="仿宋_GB2312" w:hAnsi="仿宋_GB2312" w:eastAsia="仿宋_GB2312" w:cs="仿宋_GB2312"/>
          <w:sz w:val="32"/>
          <w:szCs w:val="40"/>
          <w:u w:val="none"/>
          <w:lang w:val="en-US" w:eastAsia="zh-CN"/>
        </w:rPr>
        <w:t>2021年，全国</w:t>
      </w:r>
      <w:r>
        <w:rPr>
          <w:rFonts w:hint="eastAsia" w:ascii="仿宋_GB2312" w:hAnsi="仿宋_GB2312" w:eastAsia="仿宋_GB2312" w:cs="仿宋_GB2312"/>
          <w:color w:val="000000" w:themeColor="text1"/>
          <w:sz w:val="32"/>
          <w:szCs w:val="40"/>
          <w14:textFill>
            <w14:solidFill>
              <w14:schemeClr w14:val="tx1"/>
            </w14:solidFill>
          </w14:textFill>
        </w:rPr>
        <w:t>市政设施固定资产投资2.7</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40"/>
          <w14:textFill>
            <w14:solidFill>
              <w14:schemeClr w14:val="tx1"/>
            </w14:solidFill>
          </w14:textFill>
        </w:rPr>
        <w:t>万亿元，同比增长</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4.93</w:t>
      </w:r>
      <w:r>
        <w:rPr>
          <w:rFonts w:hint="eastAsia" w:ascii="仿宋_GB2312" w:hAnsi="仿宋_GB2312" w:eastAsia="仿宋_GB2312" w:cs="仿宋_GB2312"/>
          <w:color w:val="000000" w:themeColor="text1"/>
          <w:sz w:val="32"/>
          <w:szCs w:val="40"/>
          <w14:textFill>
            <w14:solidFill>
              <w14:schemeClr w14:val="tx1"/>
            </w14:solidFill>
          </w14:textFill>
        </w:rPr>
        <w:t>%</w:t>
      </w:r>
      <w:r>
        <w:rPr>
          <w:rFonts w:hint="eastAsia" w:ascii="仿宋_GB2312" w:hAnsi="仿宋_GB2312" w:eastAsia="仿宋_GB2312" w:cs="仿宋_GB2312"/>
          <w:color w:val="000000" w:themeColor="text1"/>
          <w:sz w:val="32"/>
          <w:szCs w:val="40"/>
          <w:lang w:eastAsia="zh-CN"/>
          <w14:textFill>
            <w14:solidFill>
              <w14:schemeClr w14:val="tx1"/>
            </w14:solidFill>
          </w14:textFill>
        </w:rPr>
        <w:t>。</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其中，</w:t>
      </w:r>
      <w:r>
        <w:rPr>
          <w:rFonts w:hint="eastAsia" w:ascii="仿宋_GB2312" w:hAnsi="仿宋_GB2312" w:eastAsia="仿宋_GB2312" w:cs="仿宋_GB2312"/>
          <w:sz w:val="32"/>
          <w:szCs w:val="40"/>
          <w:u w:val="none"/>
          <w:lang w:val="en-US" w:eastAsia="zh-CN"/>
        </w:rPr>
        <w:t>道路桥梁占城市市政设施固定资产投资的比重最大，为36.8%；轨道交通、排水和园林绿化投资分别占23.1%、9.9%和7.3%；燃气占比最小，为1.1%。</w:t>
      </w:r>
    </w:p>
    <w:p>
      <w:pPr>
        <w:numPr>
          <w:ilvl w:val="0"/>
          <w:numId w:val="0"/>
        </w:numPr>
      </w:pPr>
      <w:r>
        <w:drawing>
          <wp:inline distT="0" distB="0" distL="114300" distR="114300">
            <wp:extent cx="5379085" cy="1986280"/>
            <wp:effectExtent l="0" t="0" r="0"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0"/>
        </w:numPr>
        <w:jc w:val="center"/>
        <w:rPr>
          <w:rFonts w:hint="eastAsia"/>
          <w:lang w:val="en-US" w:eastAsia="zh-CN"/>
        </w:rPr>
      </w:pPr>
      <w:r>
        <w:rPr>
          <w:rFonts w:hint="eastAsia"/>
          <w:lang w:val="en-US" w:eastAsia="zh-CN"/>
        </w:rPr>
        <w:t xml:space="preserve">     </w:t>
      </w:r>
      <w:r>
        <w:drawing>
          <wp:inline distT="0" distB="0" distL="114300" distR="114300">
            <wp:extent cx="4914900" cy="2830195"/>
            <wp:effectExtent l="0" t="0" r="0" b="0"/>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从行政分区看，浙江、广东和江苏3个省份市政设施</w:t>
      </w:r>
      <w:r>
        <w:rPr>
          <w:rFonts w:ascii="Times New Roman" w:hAnsi="Times New Roman" w:eastAsia="仿宋_GB2312" w:cs="Times New Roman"/>
          <w:color w:val="000000" w:themeColor="text1"/>
          <w:sz w:val="32"/>
          <w:szCs w:val="40"/>
          <w14:textFill>
            <w14:solidFill>
              <w14:schemeClr w14:val="tx1"/>
            </w14:solidFill>
          </w14:textFill>
        </w:rPr>
        <w:t>固定资产投资</w:t>
      </w:r>
      <w:r>
        <w:rPr>
          <w:rFonts w:hint="eastAsia" w:ascii="仿宋_GB2312" w:hAnsi="仿宋_GB2312" w:eastAsia="仿宋_GB2312" w:cs="仿宋_GB2312"/>
          <w:sz w:val="32"/>
          <w:szCs w:val="40"/>
          <w:u w:val="none"/>
          <w:lang w:val="en-US" w:eastAsia="zh-CN"/>
        </w:rPr>
        <w:t>超过2000亿元，四川、山东、湖北、北京、重庆、河南、江西、湖南、陕西、安徽和贵州11个省（市）超过1000亿元；福建、河北和广西3个省（区）超过500亿元；上海、天津、云南、山西、辽宁、黑龙江、吉林、新疆、甘肃、内蒙古和海南11个省（区、市）超过100亿元；宁夏、青海、西藏3个省（区）和新疆兵团不足100亿元。</w:t>
      </w:r>
    </w:p>
    <w:p>
      <w:pPr>
        <w:numPr>
          <w:ilvl w:val="0"/>
          <w:numId w:val="0"/>
        </w:numPr>
        <w:rPr>
          <w:rFonts w:hint="eastAsia" w:ascii="仿宋_GB2312" w:hAnsi="仿宋_GB2312" w:eastAsia="仿宋_GB2312" w:cs="仿宋_GB2312"/>
          <w:sz w:val="32"/>
          <w:szCs w:val="40"/>
          <w:u w:val="none"/>
          <w:lang w:val="en-US" w:eastAsia="zh-CN"/>
        </w:rPr>
      </w:pPr>
      <w:r>
        <w:drawing>
          <wp:inline distT="0" distB="0" distL="114300" distR="114300">
            <wp:extent cx="5271135" cy="2098675"/>
            <wp:effectExtent l="0" t="0" r="0" b="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楷体" w:hAnsi="楷体" w:eastAsia="楷体" w:cs="楷体"/>
          <w:sz w:val="32"/>
          <w:szCs w:val="40"/>
          <w:lang w:val="en-US" w:eastAsia="zh-CN"/>
        </w:rPr>
      </w:pPr>
      <w:bookmarkStart w:id="6" w:name="_Toc14487"/>
      <w:r>
        <w:rPr>
          <w:rFonts w:hint="eastAsia" w:ascii="楷体" w:hAnsi="楷体" w:eastAsia="楷体" w:cs="楷体"/>
          <w:sz w:val="32"/>
          <w:szCs w:val="40"/>
          <w:lang w:val="en-US" w:eastAsia="zh-CN"/>
        </w:rPr>
        <w:t>（二）资金来源</w:t>
      </w:r>
      <w:bookmarkEnd w:id="6"/>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2021年，全国市政设施实际到位资金合计3.07万亿元，同比增长11.1%。其中，上年末结余资金0.40万亿元，同比增长63.2%；实际到位资金小计2.67万亿元，同比增长6.1%。其中，国家预算资金占实际到位资金小计的比重最大，为30.4%；其次是自筹资金、其他资金、国内贷款和债券的占比分别为26.7%、20.8%、14.5%和7.2%；利用外资占比最小，为0.3%。</w:t>
      </w:r>
    </w:p>
    <w:p>
      <w:pPr>
        <w:numPr>
          <w:ilvl w:val="0"/>
          <w:numId w:val="0"/>
        </w:numPr>
        <w:ind w:firstLine="420" w:firstLineChars="200"/>
        <w:rPr>
          <w:rFonts w:hint="eastAsia"/>
          <w:lang w:val="en-US" w:eastAsia="zh-CN"/>
        </w:rPr>
      </w:pPr>
      <w:r>
        <w:drawing>
          <wp:inline distT="0" distB="0" distL="114300" distR="114300">
            <wp:extent cx="4845685" cy="2195195"/>
            <wp:effectExtent l="0" t="0" r="0" b="0"/>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suppressLineNumbers w:val="0"/>
        <w:spacing w:before="0" w:beforeAutospacing="0" w:after="120" w:afterLines="50" w:afterAutospacing="0" w:line="336" w:lineRule="auto"/>
        <w:ind w:left="0" w:right="0" w:firstLine="420" w:firstLineChars="200"/>
        <w:jc w:val="both"/>
      </w:pPr>
      <w:r>
        <w:rPr>
          <w:rFonts w:hint="eastAsia"/>
          <w:lang w:val="en-US" w:eastAsia="zh-CN"/>
        </w:rPr>
        <w:t xml:space="preserve">   </w:t>
      </w:r>
      <w:r>
        <w:drawing>
          <wp:inline distT="0" distB="0" distL="114300" distR="114300">
            <wp:extent cx="4351020" cy="2379980"/>
            <wp:effectExtent l="0" t="0" r="0" b="0"/>
            <wp:docPr id="1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suppressLineNumbers w:val="0"/>
        <w:spacing w:before="0" w:beforeAutospacing="0" w:after="120" w:afterLines="50" w:afterAutospacing="0" w:line="336" w:lineRule="auto"/>
        <w:ind w:left="0" w:right="0" w:firstLine="640" w:firstLineChars="200"/>
        <w:jc w:val="both"/>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从行政分区看，广东、江苏和浙江3个省份市政设施实际到位资金合计超过2000亿元；四川、山东、重庆、陕西、湖南、江西、北京、河南、安徽、湖北和贵州11个省（市）超过1000亿元；福建、河北、广西和云南4个省（区）超过500亿元；上海、吉林、天津、黑龙江、山西、甘肃、新疆、辽宁、内蒙古和海南10个省（区、市）超过100亿元；青海、宁夏、西藏3个省（区）和新疆兵团不足100亿元。</w:t>
      </w:r>
    </w:p>
    <w:p>
      <w:pPr>
        <w:keepNext w:val="0"/>
        <w:keepLines w:val="0"/>
        <w:widowControl/>
        <w:suppressLineNumbers w:val="0"/>
        <w:spacing w:before="0" w:beforeAutospacing="0" w:after="120" w:afterLines="50" w:afterAutospacing="0" w:line="336" w:lineRule="auto"/>
        <w:ind w:right="0"/>
        <w:jc w:val="both"/>
        <w:rPr>
          <w:rFonts w:hint="eastAsia" w:ascii="仿宋_GB2312" w:hAnsi="仿宋_GB2312" w:eastAsia="仿宋_GB2312" w:cs="仿宋_GB2312"/>
          <w:sz w:val="32"/>
          <w:szCs w:val="40"/>
          <w:u w:val="none"/>
          <w:lang w:val="en-US" w:eastAsia="zh-CN"/>
        </w:rPr>
      </w:pPr>
      <w:r>
        <w:drawing>
          <wp:inline distT="0" distB="0" distL="114300" distR="114300">
            <wp:extent cx="5291455" cy="1816100"/>
            <wp:effectExtent l="0" t="0" r="0" b="0"/>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outlineLvl w:val="0"/>
        <w:rPr>
          <w:rFonts w:hint="eastAsia" w:ascii="黑体" w:hAnsi="黑体" w:eastAsia="黑体" w:cs="黑体"/>
          <w:sz w:val="32"/>
          <w:szCs w:val="32"/>
          <w:lang w:val="en-US" w:eastAsia="zh-CN"/>
        </w:rPr>
      </w:pPr>
      <w:bookmarkStart w:id="7" w:name="_Toc18429"/>
      <w:r>
        <w:rPr>
          <w:rFonts w:hint="eastAsia" w:ascii="黑体" w:hAnsi="黑体" w:eastAsia="黑体" w:cs="黑体"/>
          <w:sz w:val="32"/>
          <w:szCs w:val="32"/>
          <w:lang w:val="en-US" w:eastAsia="zh-CN"/>
        </w:rPr>
        <w:t>三、城市居民生活需求</w:t>
      </w:r>
      <w:bookmarkEnd w:id="7"/>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楷体" w:hAnsi="楷体" w:eastAsia="楷体" w:cs="楷体"/>
          <w:sz w:val="32"/>
          <w:szCs w:val="40"/>
          <w:lang w:val="en-US" w:eastAsia="zh-CN"/>
        </w:rPr>
      </w:pPr>
      <w:bookmarkStart w:id="8" w:name="_Toc13047"/>
      <w:r>
        <w:rPr>
          <w:rFonts w:hint="eastAsia" w:ascii="楷体" w:hAnsi="楷体" w:eastAsia="楷体" w:cs="楷体"/>
          <w:sz w:val="32"/>
          <w:szCs w:val="40"/>
          <w:lang w:val="en-US" w:eastAsia="zh-CN"/>
        </w:rPr>
        <w:t>（一）城市供水</w:t>
      </w:r>
      <w:bookmarkEnd w:id="8"/>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2021年，全国城市供水总量673.34亿立方米，同比增长6.96%；城市供水管道长度105.99万公里，同比增长5.26%；人均日生活用水量185.03升；供水普及率99.38%，比上年增加0.39个百分点。</w:t>
      </w:r>
    </w:p>
    <w:p>
      <w:pPr>
        <w:numPr>
          <w:ilvl w:val="0"/>
          <w:numId w:val="0"/>
        </w:numPr>
      </w:pPr>
      <w:r>
        <w:rPr>
          <w:rFonts w:hint="eastAsia"/>
          <w:lang w:val="en-US" w:eastAsia="zh-CN"/>
        </w:rPr>
        <w:t xml:space="preserve">       </w:t>
      </w:r>
      <w:r>
        <w:drawing>
          <wp:inline distT="0" distB="0" distL="114300" distR="114300">
            <wp:extent cx="4572000" cy="1958975"/>
            <wp:effectExtent l="0" t="0" r="0" b="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numPr>
          <w:ilvl w:val="0"/>
          <w:numId w:val="0"/>
        </w:numPr>
        <w:jc w:val="center"/>
      </w:pPr>
      <w:r>
        <w:drawing>
          <wp:inline distT="0" distB="0" distL="114300" distR="114300">
            <wp:extent cx="4378325" cy="2011045"/>
            <wp:effectExtent l="0" t="0" r="0" b="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从行政分区看，海南省城市人均日生活用水量超过300升，广西、西藏、广东、福建、江苏、浙江、上海、湖南和江西9个省（区、市）超过200升（含）；四川、湖北、安徽、重庆、云南、贵州、宁夏、北京、陕西、新疆、辽宁11个省（区、市）和新疆兵团超过150升；青海、甘肃、河南、山西、河北、山东、吉林、天津、黑龙江和内蒙古10个省（区、市）超过100升。</w:t>
      </w:r>
    </w:p>
    <w:p>
      <w:pPr>
        <w:numPr>
          <w:ilvl w:val="0"/>
          <w:numId w:val="0"/>
        </w:numPr>
        <w:rPr>
          <w:rFonts w:hint="default"/>
          <w:lang w:val="en-US" w:eastAsia="zh-CN"/>
        </w:rPr>
      </w:pPr>
      <w:r>
        <w:drawing>
          <wp:inline distT="0" distB="0" distL="114300" distR="114300">
            <wp:extent cx="5271135" cy="1953260"/>
            <wp:effectExtent l="0" t="0" r="0" b="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天津、河北、上海、江苏、浙江和广东6个省（市）城市供水普及率达到100%；福建、山东、湖北、广西、安徽、辽宁、宁夏、新疆、内蒙古、山西、甘肃、河南、黑龙江、江西、云南和湖南16个省（区）超过99%（含）；西藏、青海、北京、四川、贵州和陕西6个省（区、市）超过98%；重庆、吉林、海南3个省（市）和新疆兵团超过95%。</w:t>
      </w:r>
    </w:p>
    <w:p>
      <w:pPr>
        <w:numPr>
          <w:ilvl w:val="0"/>
          <w:numId w:val="0"/>
        </w:numPr>
      </w:pPr>
      <w:r>
        <w:drawing>
          <wp:inline distT="0" distB="0" distL="114300" distR="114300">
            <wp:extent cx="5287010" cy="2388870"/>
            <wp:effectExtent l="0" t="0" r="0" b="0"/>
            <wp:docPr id="1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楷体" w:hAnsi="楷体" w:eastAsia="楷体" w:cs="楷体"/>
          <w:sz w:val="32"/>
          <w:szCs w:val="40"/>
          <w:lang w:val="en-US" w:eastAsia="zh-CN"/>
        </w:rPr>
      </w:pPr>
      <w:bookmarkStart w:id="9" w:name="_Toc19450"/>
      <w:r>
        <w:rPr>
          <w:rFonts w:hint="eastAsia" w:ascii="楷体" w:hAnsi="楷体" w:eastAsia="楷体" w:cs="楷体"/>
          <w:sz w:val="32"/>
          <w:szCs w:val="40"/>
          <w:lang w:val="en-US" w:eastAsia="zh-CN"/>
        </w:rPr>
        <w:t>（二）城市燃气</w:t>
      </w:r>
      <w:bookmarkEnd w:id="9"/>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1.供气总量</w:t>
      </w:r>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2021年，全国城市人工煤气供气总量18.7亿立方米，同比下降19.1%。天然气供气总量1721.1亿立方米，同比增长10.1%。液化石油气供气总量860.7万吨，同比增长3.2%。</w:t>
      </w:r>
    </w:p>
    <w:p>
      <w:pPr>
        <w:numPr>
          <w:ilvl w:val="0"/>
          <w:numId w:val="0"/>
        </w:numPr>
        <w:ind w:firstLine="420" w:firstLineChars="200"/>
        <w:jc w:val="center"/>
      </w:pPr>
      <w:r>
        <w:drawing>
          <wp:inline distT="0" distB="0" distL="114300" distR="114300">
            <wp:extent cx="4695825" cy="2501900"/>
            <wp:effectExtent l="0" t="0" r="0" b="0"/>
            <wp:docPr id="1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numPr>
          <w:ilvl w:val="0"/>
          <w:numId w:val="0"/>
        </w:numPr>
        <w:ind w:firstLine="420" w:firstLineChars="200"/>
        <w:jc w:val="center"/>
      </w:pPr>
      <w:r>
        <w:drawing>
          <wp:inline distT="0" distB="0" distL="114300" distR="114300">
            <wp:extent cx="4572000" cy="2225040"/>
            <wp:effectExtent l="0" t="0" r="0" b="0"/>
            <wp:docPr id="2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numPr>
          <w:ilvl w:val="0"/>
          <w:numId w:val="0"/>
        </w:numPr>
        <w:ind w:firstLine="420" w:firstLineChars="200"/>
        <w:jc w:val="center"/>
      </w:pPr>
      <w:r>
        <w:drawing>
          <wp:inline distT="0" distB="0" distL="114300" distR="114300">
            <wp:extent cx="4572000" cy="2225040"/>
            <wp:effectExtent l="0" t="0" r="0" b="0"/>
            <wp:docPr id="2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2.供气管道长度</w:t>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2021年，全国城市人工煤气管道长度0.92万公里，同比下降7.04%；天然气管道长度92.91万公里，同比增长9.23%。液化石油气管道长度0.29万公里，同比下降27.43%。</w:t>
      </w:r>
    </w:p>
    <w:p>
      <w:pPr>
        <w:numPr>
          <w:ilvl w:val="0"/>
          <w:numId w:val="0"/>
        </w:numPr>
        <w:ind w:firstLine="420" w:firstLineChars="200"/>
      </w:pPr>
      <w:r>
        <w:drawing>
          <wp:inline distT="0" distB="0" distL="114300" distR="114300">
            <wp:extent cx="4572000" cy="2225040"/>
            <wp:effectExtent l="0" t="0" r="0" b="0"/>
            <wp:docPr id="2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numPr>
          <w:ilvl w:val="0"/>
          <w:numId w:val="0"/>
        </w:numPr>
        <w:ind w:firstLine="420" w:firstLineChars="200"/>
        <w:rPr>
          <w:rFonts w:hint="default"/>
          <w:lang w:val="en-US" w:eastAsia="zh-CN"/>
        </w:rPr>
      </w:pPr>
      <w:r>
        <w:drawing>
          <wp:inline distT="0" distB="0" distL="114300" distR="114300">
            <wp:extent cx="4572000" cy="2225040"/>
            <wp:effectExtent l="0" t="0" r="0" b="0"/>
            <wp:docPr id="2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numPr>
          <w:ilvl w:val="0"/>
          <w:numId w:val="0"/>
        </w:numPr>
        <w:ind w:firstLine="420" w:firstLineChars="200"/>
        <w:rPr>
          <w:rFonts w:hint="eastAsia"/>
          <w:lang w:val="en-US" w:eastAsia="zh-CN"/>
        </w:rPr>
      </w:pPr>
      <w:r>
        <w:drawing>
          <wp:inline distT="0" distB="0" distL="114300" distR="114300">
            <wp:extent cx="4572000" cy="2225040"/>
            <wp:effectExtent l="0" t="0" r="0" b="0"/>
            <wp:docPr id="2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3.燃气普及率</w:t>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2021年，全国城市燃气普及率98.04%，比上年增加0.17个百分点；管道燃气普及率79.84%，比上年增加2.00个百分点。</w:t>
      </w:r>
    </w:p>
    <w:p>
      <w:pPr>
        <w:numPr>
          <w:ilvl w:val="0"/>
          <w:numId w:val="0"/>
        </w:numPr>
        <w:ind w:firstLine="420" w:firstLineChars="200"/>
        <w:jc w:val="center"/>
      </w:pPr>
      <w:r>
        <w:drawing>
          <wp:inline distT="0" distB="0" distL="114300" distR="114300">
            <wp:extent cx="4572000" cy="1867535"/>
            <wp:effectExtent l="0" t="0" r="0" b="0"/>
            <wp:docPr id="2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numPr>
          <w:ilvl w:val="0"/>
          <w:numId w:val="0"/>
        </w:numPr>
        <w:ind w:firstLine="420" w:firstLineChars="200"/>
        <w:jc w:val="center"/>
      </w:pPr>
      <w:r>
        <w:drawing>
          <wp:inline distT="0" distB="0" distL="114300" distR="114300">
            <wp:extent cx="4572000" cy="1867535"/>
            <wp:effectExtent l="0" t="0" r="0" b="0"/>
            <wp:docPr id="2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从行政分区看，北京、天津、上海和浙江4个省（市）城市燃气普及率达到100%；江苏、河北、安徽、广西、海南、福建和山东7个省超过99%；湖北、新疆、陕西、江西、广东、重庆、四川、山西、内蒙古、辽宁、宁夏、河南、湖南、甘肃14个省（区、市）和新疆兵团超过95%；吉林、青海、黑龙江和贵州4个省超过90%；云南和西藏不足80%。</w:t>
      </w:r>
    </w:p>
    <w:p>
      <w:pPr>
        <w:numPr>
          <w:ilvl w:val="0"/>
          <w:numId w:val="0"/>
        </w:numPr>
        <w:rPr>
          <w:rFonts w:hint="eastAsia"/>
          <w:lang w:val="en-US" w:eastAsia="zh-CN"/>
        </w:rPr>
      </w:pPr>
      <w:r>
        <w:drawing>
          <wp:inline distT="0" distB="0" distL="114300" distR="114300">
            <wp:extent cx="5267960" cy="2034540"/>
            <wp:effectExtent l="0" t="0" r="0" b="0"/>
            <wp:docPr id="2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天津、重庆和山西3个省（市）城市管道燃气普及率超过95%；四川、新疆、安徽、陕西、山东、宁夏、江苏、河北8个省（区）和新疆兵团超过90%；甘肃、辽宁、河南、湖北、青海、海南、上海、吉林、北京、湖南、内蒙古、江西、黑龙江、浙江、福建、贵州、广西、广东和云南19个省（区、市）超过50%；西藏不足40%。</w:t>
      </w:r>
    </w:p>
    <w:p>
      <w:pPr>
        <w:numPr>
          <w:ilvl w:val="0"/>
          <w:numId w:val="0"/>
        </w:numPr>
      </w:pPr>
      <w:r>
        <w:drawing>
          <wp:inline distT="0" distB="0" distL="114300" distR="114300">
            <wp:extent cx="5267960" cy="1936750"/>
            <wp:effectExtent l="0" t="0" r="0" b="0"/>
            <wp:docPr id="2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楷体" w:hAnsi="楷体" w:eastAsia="楷体" w:cs="楷体"/>
          <w:sz w:val="32"/>
          <w:szCs w:val="40"/>
          <w:lang w:val="en-US" w:eastAsia="zh-CN"/>
        </w:rPr>
      </w:pPr>
      <w:bookmarkStart w:id="10" w:name="_Toc17103"/>
      <w:r>
        <w:rPr>
          <w:rFonts w:hint="eastAsia" w:ascii="楷体" w:hAnsi="楷体" w:eastAsia="楷体" w:cs="楷体"/>
          <w:sz w:val="32"/>
          <w:szCs w:val="40"/>
          <w:lang w:val="en-US" w:eastAsia="zh-CN"/>
        </w:rPr>
        <w:t>（三）城市集中供热</w:t>
      </w:r>
      <w:bookmarkEnd w:id="10"/>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1.集中供热能力</w:t>
      </w:r>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2021年年末，全国城市蒸汽集中供热能力11.88万吨/小时，同比增长14.80%；热水集中供热能力59.32万兆瓦，同比增长4.78%。</w:t>
      </w:r>
    </w:p>
    <w:p>
      <w:pPr>
        <w:numPr>
          <w:ilvl w:val="0"/>
          <w:numId w:val="0"/>
        </w:numPr>
        <w:rPr>
          <w:rFonts w:hint="eastAsia"/>
          <w:lang w:val="en-US" w:eastAsia="zh-CN"/>
        </w:rPr>
      </w:pPr>
    </w:p>
    <w:p>
      <w:pPr>
        <w:numPr>
          <w:ilvl w:val="0"/>
          <w:numId w:val="0"/>
        </w:numPr>
        <w:ind w:firstLine="420" w:firstLineChars="200"/>
      </w:pPr>
      <w:r>
        <w:drawing>
          <wp:inline distT="0" distB="0" distL="114300" distR="114300">
            <wp:extent cx="4572000" cy="2225040"/>
            <wp:effectExtent l="0" t="0" r="0" b="0"/>
            <wp:docPr id="2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pPr>
        <w:numPr>
          <w:ilvl w:val="0"/>
          <w:numId w:val="0"/>
        </w:numPr>
        <w:ind w:firstLine="420" w:firstLineChars="200"/>
      </w:pPr>
      <w:r>
        <w:drawing>
          <wp:inline distT="0" distB="0" distL="114300" distR="114300">
            <wp:extent cx="4572000" cy="2225040"/>
            <wp:effectExtent l="0" t="0" r="0" b="0"/>
            <wp:docPr id="3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2.集中供热面积</w:t>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2021年年末，全国城市集中供热面积106.03亿平方米，同比增长7.30%。</w:t>
      </w:r>
    </w:p>
    <w:p>
      <w:pPr>
        <w:numPr>
          <w:ilvl w:val="0"/>
          <w:numId w:val="0"/>
        </w:numPr>
        <w:ind w:firstLine="420" w:firstLineChars="200"/>
      </w:pPr>
      <w:r>
        <w:drawing>
          <wp:inline distT="0" distB="0" distL="114300" distR="114300">
            <wp:extent cx="4572000" cy="2225040"/>
            <wp:effectExtent l="0" t="0" r="0" b="0"/>
            <wp:docPr id="3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从行政分区看，山东和辽宁城市集中供热面积超过10亿平方米；河北、黑龙江、山西、吉林、北京、内蒙古、河南和天津8个省（区、市）超过5亿平方米；陕西、新疆、甘肃、宁夏和青海5个省（区）超过1亿平方米；江苏、安徽、湖北、西藏、贵州、云南、四川7个省（区）和新疆兵团不足1亿平方米；上海、浙江、福建、江西、湖南、广东、广西、海南和重庆9个省（区、市）无集中供热面积。</w:t>
      </w:r>
    </w:p>
    <w:p>
      <w:pPr>
        <w:numPr>
          <w:ilvl w:val="0"/>
          <w:numId w:val="0"/>
        </w:numPr>
      </w:pPr>
      <w:r>
        <w:drawing>
          <wp:inline distT="0" distB="0" distL="114300" distR="114300">
            <wp:extent cx="5271135" cy="2208530"/>
            <wp:effectExtent l="0" t="0" r="0" b="0"/>
            <wp:docPr id="3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sz w:val="32"/>
          <w:szCs w:val="32"/>
          <w:lang w:val="en-US" w:eastAsia="zh-CN"/>
        </w:rPr>
      </w:pPr>
      <w:bookmarkStart w:id="11" w:name="_Toc8291"/>
      <w:r>
        <w:rPr>
          <w:rFonts w:hint="eastAsia" w:ascii="黑体" w:hAnsi="黑体" w:eastAsia="黑体" w:cs="黑体"/>
          <w:sz w:val="32"/>
          <w:szCs w:val="32"/>
          <w:lang w:val="en-US" w:eastAsia="zh-CN"/>
        </w:rPr>
        <w:t>四、城市居民环境卫生需求</w:t>
      </w:r>
      <w:bookmarkEnd w:id="11"/>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楷体" w:hAnsi="楷体" w:eastAsia="楷体" w:cs="楷体"/>
          <w:sz w:val="32"/>
          <w:szCs w:val="40"/>
          <w:lang w:val="en-US" w:eastAsia="zh-CN"/>
        </w:rPr>
      </w:pPr>
      <w:bookmarkStart w:id="12" w:name="_Toc21215"/>
      <w:r>
        <w:rPr>
          <w:rFonts w:hint="eastAsia" w:ascii="楷体" w:hAnsi="楷体" w:eastAsia="楷体" w:cs="楷体"/>
          <w:sz w:val="32"/>
          <w:szCs w:val="40"/>
          <w:lang w:val="en-US" w:eastAsia="zh-CN"/>
        </w:rPr>
        <w:t>（一）城市污水处理</w:t>
      </w:r>
      <w:bookmarkEnd w:id="12"/>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2021年年末，全国城市排水管道总长度87.2万公里，同比增长8.7%；污水处理厂处理能力2.1亿立方米/日，同比增长7.8%。2021年，污水处理率97.89%，比上年增加0.36个百分点；城市生活污水集中收集率68.6%，比上年增加3.8个百分点。</w:t>
      </w:r>
    </w:p>
    <w:p>
      <w:pPr>
        <w:numPr>
          <w:ilvl w:val="0"/>
          <w:numId w:val="0"/>
        </w:numPr>
        <w:jc w:val="center"/>
      </w:pPr>
      <w:r>
        <w:drawing>
          <wp:inline distT="0" distB="0" distL="114300" distR="114300">
            <wp:extent cx="4966970" cy="1945640"/>
            <wp:effectExtent l="0" t="0" r="0" b="0"/>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pPr>
        <w:numPr>
          <w:ilvl w:val="0"/>
          <w:numId w:val="0"/>
        </w:numPr>
        <w:ind w:firstLine="420" w:firstLineChars="200"/>
        <w:jc w:val="center"/>
        <w:rPr>
          <w:rFonts w:hint="eastAsia" w:ascii="仿宋_GB2312" w:hAnsi="仿宋_GB2312" w:eastAsia="仿宋_GB2312" w:cs="仿宋_GB2312"/>
          <w:sz w:val="32"/>
          <w:szCs w:val="40"/>
          <w:u w:val="none"/>
          <w:lang w:val="en-US" w:eastAsia="zh-CN"/>
        </w:rPr>
      </w:pPr>
      <w:r>
        <w:drawing>
          <wp:inline distT="0" distB="0" distL="114300" distR="114300">
            <wp:extent cx="4716145" cy="1893570"/>
            <wp:effectExtent l="0" t="0" r="0" b="0"/>
            <wp:docPr id="3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从行政分区看，广东、江苏、山东、浙江、辽宁和河南6个省份城市污水处理厂处理能力超过1000万立方米/日；湖北、四川、上海、湖南、安徽、北京、河北、陕西、福建和广西10个省（区、市）在500-1000万立方米/日之间；吉林、重庆、江西、黑龙江、云南、山西、贵州、天津、内蒙古、新疆、甘肃、海南、宁夏13个省（区、市）在100-500万立方米/日之间；青海、西藏和新疆兵团不足100万立方米/日。</w:t>
      </w:r>
    </w:p>
    <w:p>
      <w:pPr>
        <w:numPr>
          <w:ilvl w:val="0"/>
          <w:numId w:val="0"/>
        </w:numPr>
      </w:pPr>
      <w:r>
        <w:drawing>
          <wp:inline distT="0" distB="0" distL="114300" distR="114300">
            <wp:extent cx="5455920" cy="1929765"/>
            <wp:effectExtent l="0" t="0" r="0" b="0"/>
            <wp:docPr id="3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pPr>
        <w:numPr>
          <w:ilvl w:val="0"/>
          <w:numId w:val="0"/>
        </w:numPr>
        <w:ind w:firstLine="640" w:firstLineChars="200"/>
      </w:pPr>
      <w:r>
        <w:rPr>
          <w:rFonts w:hint="eastAsia" w:ascii="仿宋_GB2312" w:hAnsi="仿宋_GB2312" w:eastAsia="仿宋_GB2312" w:cs="仿宋_GB2312"/>
          <w:sz w:val="32"/>
          <w:szCs w:val="40"/>
          <w:u w:val="none"/>
          <w:lang w:val="en-US" w:eastAsia="zh-CN"/>
        </w:rPr>
        <w:t>上海、新疆、天津、北京、陕西、甘肃、内蒙古、河南、宁夏、江苏、吉林、河北、山东、广东、山西15个省（区、市）和新疆兵团城市生活污水集中收集率超过70%；青海、黑龙江、浙江、辽宁、重庆、云南、福建、安徽、湖南、海南、湖北和四川12个省（市）在50%-70%之间；贵州、广西、江西和西藏4个省（区）不足50%。</w:t>
      </w:r>
    </w:p>
    <w:p>
      <w:pPr>
        <w:numPr>
          <w:ilvl w:val="0"/>
          <w:numId w:val="0"/>
        </w:numPr>
        <w:rPr>
          <w:rFonts w:hint="default"/>
          <w:lang w:val="en-US" w:eastAsia="zh-CN"/>
        </w:rPr>
      </w:pPr>
      <w:r>
        <w:drawing>
          <wp:inline distT="0" distB="0" distL="114300" distR="114300">
            <wp:extent cx="5761355" cy="1852295"/>
            <wp:effectExtent l="0" t="0" r="0" b="0"/>
            <wp:docPr id="3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楷体" w:hAnsi="楷体" w:eastAsia="楷体" w:cs="楷体"/>
          <w:sz w:val="32"/>
          <w:szCs w:val="40"/>
          <w:lang w:val="en-US" w:eastAsia="zh-CN"/>
        </w:rPr>
      </w:pPr>
      <w:bookmarkStart w:id="13" w:name="_Toc28131"/>
      <w:r>
        <w:rPr>
          <w:rFonts w:hint="eastAsia" w:ascii="楷体" w:hAnsi="楷体" w:eastAsia="楷体" w:cs="楷体"/>
          <w:sz w:val="32"/>
          <w:szCs w:val="40"/>
          <w:lang w:val="en-US" w:eastAsia="zh-CN"/>
        </w:rPr>
        <w:t>（二）城市生活垃圾处理</w:t>
      </w:r>
      <w:bookmarkEnd w:id="13"/>
    </w:p>
    <w:p>
      <w:pPr>
        <w:numPr>
          <w:ilvl w:val="0"/>
          <w:numId w:val="0"/>
        </w:numPr>
        <w:ind w:firstLine="640" w:firstLineChars="200"/>
      </w:pPr>
      <w:r>
        <w:rPr>
          <w:rFonts w:hint="eastAsia" w:ascii="仿宋_GB2312" w:hAnsi="仿宋_GB2312" w:eastAsia="仿宋_GB2312" w:cs="仿宋_GB2312"/>
          <w:sz w:val="32"/>
          <w:szCs w:val="40"/>
          <w:u w:val="none"/>
          <w:lang w:val="en-US" w:eastAsia="zh-CN"/>
        </w:rPr>
        <w:t>2021年，全国城市生活垃圾无害化处理量2.5亿吨，同比增长5.9%；生活垃圾无害化处理率99.88%，比上年增加0.14个百分点；生活垃圾无害化处理能力105.7万吨/日，同比增长9.7%，其中，焚烧处理能力占比为68.1%。</w:t>
      </w:r>
    </w:p>
    <w:p>
      <w:pPr>
        <w:numPr>
          <w:ilvl w:val="0"/>
          <w:numId w:val="0"/>
        </w:numPr>
        <w:jc w:val="center"/>
      </w:pPr>
      <w:r>
        <w:drawing>
          <wp:inline distT="0" distB="0" distL="114300" distR="114300">
            <wp:extent cx="4489450" cy="1769110"/>
            <wp:effectExtent l="0" t="0" r="0" b="0"/>
            <wp:docPr id="3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pPr>
        <w:numPr>
          <w:ilvl w:val="0"/>
          <w:numId w:val="0"/>
        </w:numPr>
        <w:jc w:val="center"/>
      </w:pPr>
      <w:r>
        <w:drawing>
          <wp:inline distT="0" distB="0" distL="114300" distR="114300">
            <wp:extent cx="4966970" cy="1997710"/>
            <wp:effectExtent l="0" t="0" r="0" b="0"/>
            <wp:docPr id="4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从行政分区看，广东、江苏、浙江和山东4个省份城市生活垃圾无害化处理能力超过7万吨/日；四川、河北、河南、辽宁、湖北、安徽、湖南、上海、北京、福建、陕西、重庆、黑龙江、江西、贵州、广西、吉林、天津、云南、内蒙古、新疆、山西、海南和甘肃24个省（区、市）在1-5万吨/日之间；宁夏、西藏、青海3个省（区）和新疆兵团低于1万吨/日。</w:t>
      </w:r>
    </w:p>
    <w:p>
      <w:pPr>
        <w:numPr>
          <w:ilvl w:val="0"/>
          <w:numId w:val="0"/>
        </w:numPr>
      </w:pPr>
      <w:r>
        <w:drawing>
          <wp:inline distT="0" distB="0" distL="114300" distR="114300">
            <wp:extent cx="5401945" cy="1567180"/>
            <wp:effectExtent l="0" t="0" r="0" b="0"/>
            <wp:docPr id="4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天津、海南、浙江、江西、四川、福建、江苏、山东、云南、安徽、河北、广东、河南、上海、贵州、广西和重庆17个省（区、市）城市生活垃圾焚烧处理能力占比超过60%；湖北、甘肃、吉林、湖南、山西、北京、宁夏、辽宁、黑龙江、新疆和陕西11个省（区、市）在40%-60%之间；内蒙古、西藏、青海3个省（区）和新疆兵团不足40%。</w:t>
      </w:r>
    </w:p>
    <w:p>
      <w:pPr>
        <w:numPr>
          <w:ilvl w:val="0"/>
          <w:numId w:val="0"/>
        </w:numPr>
        <w:rPr>
          <w:rFonts w:hint="eastAsia"/>
          <w:lang w:val="en-US" w:eastAsia="zh-CN"/>
        </w:rPr>
      </w:pPr>
      <w:r>
        <w:drawing>
          <wp:inline distT="0" distB="0" distL="114300" distR="114300">
            <wp:extent cx="5607685" cy="1949450"/>
            <wp:effectExtent l="0" t="0" r="0" b="0"/>
            <wp:docPr id="4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outlineLvl w:val="0"/>
        <w:rPr>
          <w:rFonts w:hint="eastAsia" w:ascii="黑体" w:hAnsi="黑体" w:eastAsia="黑体" w:cs="黑体"/>
          <w:sz w:val="32"/>
          <w:szCs w:val="32"/>
          <w:lang w:val="en-US" w:eastAsia="zh-CN"/>
        </w:rPr>
      </w:pPr>
      <w:bookmarkStart w:id="14" w:name="_Toc8547"/>
      <w:r>
        <w:rPr>
          <w:rFonts w:hint="eastAsia" w:ascii="黑体" w:hAnsi="黑体" w:eastAsia="黑体" w:cs="黑体"/>
          <w:sz w:val="32"/>
          <w:szCs w:val="32"/>
          <w:lang w:val="en-US" w:eastAsia="zh-CN"/>
        </w:rPr>
        <w:t>五、城市居民出行需求</w:t>
      </w:r>
      <w:bookmarkEnd w:id="14"/>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楷体" w:hAnsi="楷体" w:eastAsia="楷体" w:cs="楷体"/>
          <w:sz w:val="32"/>
          <w:szCs w:val="40"/>
          <w:lang w:val="en-US" w:eastAsia="zh-CN"/>
        </w:rPr>
      </w:pPr>
      <w:bookmarkStart w:id="15" w:name="_Toc25962"/>
      <w:r>
        <w:rPr>
          <w:rFonts w:hint="eastAsia" w:ascii="楷体" w:hAnsi="楷体" w:eastAsia="楷体" w:cs="楷体"/>
          <w:sz w:val="32"/>
          <w:szCs w:val="40"/>
          <w:lang w:val="en-US" w:eastAsia="zh-CN"/>
        </w:rPr>
        <w:t>（一）城市轨道交通</w:t>
      </w:r>
      <w:bookmarkEnd w:id="15"/>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2021年年末，全国城市已建成轨道交通8571.4公里，同比增长12.8%。在建轨道交通5172.3公里，同比增长1.5%。</w:t>
      </w:r>
    </w:p>
    <w:p>
      <w:pPr>
        <w:numPr>
          <w:ilvl w:val="0"/>
          <w:numId w:val="0"/>
        </w:numPr>
      </w:pPr>
      <w:r>
        <w:drawing>
          <wp:inline distT="0" distB="0" distL="114300" distR="114300">
            <wp:extent cx="5269230" cy="2183130"/>
            <wp:effectExtent l="0" t="0" r="0" b="0"/>
            <wp:docPr id="4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从行政分区看，广东已建成城市轨道交通长度突破1000公里；江苏、上海、北京、浙江和四川5个省（市）超过500公里；湖北、辽宁、山东、重庆、天津、陕西、河南、安徽、湖南、云南、福建、广西、江西和吉林14个省（区、市）在100-500公里之间；河北、贵州、黑龙江、内蒙古、甘肃、新疆、山西和海南8个省（区）不足100公里；西藏、青海、宁夏3个省（区）和新疆兵团暂无轨道交通。</w:t>
      </w:r>
    </w:p>
    <w:p>
      <w:pPr>
        <w:numPr>
          <w:ilvl w:val="0"/>
          <w:numId w:val="0"/>
        </w:numPr>
      </w:pPr>
      <w:r>
        <w:drawing>
          <wp:inline distT="0" distB="0" distL="114300" distR="114300">
            <wp:extent cx="5462905" cy="1854200"/>
            <wp:effectExtent l="0" t="0" r="0" b="0"/>
            <wp:docPr id="4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pPr>
        <w:numPr>
          <w:ilvl w:val="0"/>
          <w:numId w:val="0"/>
        </w:numPr>
        <w:ind w:firstLine="640" w:firstLineChars="200"/>
        <w:rPr>
          <w:rFonts w:hint="eastAsia"/>
          <w:lang w:val="en-US" w:eastAsia="zh-CN"/>
        </w:rPr>
      </w:pPr>
      <w:r>
        <w:rPr>
          <w:rFonts w:hint="eastAsia" w:ascii="仿宋_GB2312" w:hAnsi="仿宋_GB2312" w:eastAsia="仿宋_GB2312" w:cs="仿宋_GB2312"/>
          <w:sz w:val="32"/>
          <w:szCs w:val="40"/>
          <w:u w:val="none"/>
          <w:lang w:val="en-US" w:eastAsia="zh-CN"/>
        </w:rPr>
        <w:t>广东、浙江和江苏3个省份在建的城市轨道交通长度超过500公里；重庆、北京、福建、山东、河南、四川、天津、辽宁、湖北、安徽、陕西、湖南、吉林和上海14个省（市）在100-400公里之间；贵州、新疆、云南、黑龙江、江西、山西、甘肃和广西8个省（区）不足100公里。</w:t>
      </w:r>
    </w:p>
    <w:p>
      <w:pPr>
        <w:numPr>
          <w:ilvl w:val="0"/>
          <w:numId w:val="0"/>
        </w:numPr>
        <w:rPr>
          <w:rFonts w:hint="eastAsia" w:ascii="仿宋_GB2312" w:hAnsi="仿宋_GB2312" w:eastAsia="仿宋_GB2312" w:cs="仿宋_GB2312"/>
          <w:sz w:val="32"/>
          <w:szCs w:val="40"/>
          <w:u w:val="none"/>
          <w:lang w:val="en-US" w:eastAsia="zh-CN"/>
        </w:rPr>
      </w:pPr>
      <w:r>
        <w:drawing>
          <wp:inline distT="0" distB="0" distL="114300" distR="114300">
            <wp:extent cx="5546725" cy="2005965"/>
            <wp:effectExtent l="0" t="0" r="0" b="0"/>
            <wp:docPr id="4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楷体" w:hAnsi="楷体" w:eastAsia="楷体" w:cs="楷体"/>
          <w:sz w:val="32"/>
          <w:szCs w:val="40"/>
          <w:lang w:val="en-US" w:eastAsia="zh-CN"/>
        </w:rPr>
      </w:pPr>
      <w:bookmarkStart w:id="16" w:name="_Toc31021"/>
      <w:r>
        <w:rPr>
          <w:rFonts w:hint="eastAsia" w:ascii="楷体" w:hAnsi="楷体" w:eastAsia="楷体" w:cs="楷体"/>
          <w:sz w:val="32"/>
          <w:szCs w:val="40"/>
          <w:lang w:val="en-US" w:eastAsia="zh-CN"/>
        </w:rPr>
        <w:t>（二）城市道路</w:t>
      </w:r>
      <w:bookmarkEnd w:id="16"/>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2021年年末，全国城市道路面积105.4亿平方米，同比增长8.6%；城市道路长度53.2万公里，同比增长8.1%。2021年城市人均道路面积18.8平方米，同比增长4.4%。</w:t>
      </w:r>
    </w:p>
    <w:p>
      <w:pPr>
        <w:numPr>
          <w:ilvl w:val="0"/>
          <w:numId w:val="0"/>
        </w:numPr>
        <w:jc w:val="center"/>
      </w:pPr>
      <w:r>
        <w:drawing>
          <wp:inline distT="0" distB="0" distL="114300" distR="114300">
            <wp:extent cx="4868545" cy="2042160"/>
            <wp:effectExtent l="0" t="0" r="0" b="0"/>
            <wp:docPr id="4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pPr>
        <w:numPr>
          <w:ilvl w:val="0"/>
          <w:numId w:val="0"/>
        </w:numPr>
        <w:jc w:val="center"/>
      </w:pPr>
      <w:r>
        <w:drawing>
          <wp:inline distT="0" distB="0" distL="114300" distR="114300">
            <wp:extent cx="4868545" cy="1895475"/>
            <wp:effectExtent l="0" t="0" r="0" b="0"/>
            <wp:docPr id="4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pPr>
        <w:numPr>
          <w:ilvl w:val="0"/>
          <w:numId w:val="0"/>
        </w:numPr>
        <w:jc w:val="center"/>
        <w:rPr>
          <w:rFonts w:hint="default"/>
          <w:lang w:val="en-US" w:eastAsia="zh-CN"/>
        </w:rPr>
      </w:pPr>
      <w:r>
        <w:drawing>
          <wp:inline distT="0" distB="0" distL="114300" distR="114300">
            <wp:extent cx="4868545" cy="1950720"/>
            <wp:effectExtent l="0" t="0" r="0" b="0"/>
            <wp:docPr id="4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pPr>
        <w:numPr>
          <w:ilvl w:val="0"/>
          <w:numId w:val="0"/>
        </w:numPr>
        <w:ind w:leftChars="0"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从行政分区看，山东、宁夏、海南、江苏、内蒙古、广西、江西、安徽、甘肃、贵州、西藏、河北、福建、新疆、湖南15个省（区）和新疆兵团城市人均道路面积在20平方米以上；辽宁、青海、湖北、山西、云南、浙江、四川、陕西、黑龙江、河南、吉林、重庆、天津和广东14个省（市）在15-20平方米之间；北京和上海不足10平方米。</w:t>
      </w:r>
    </w:p>
    <w:p>
      <w:pPr>
        <w:numPr>
          <w:ilvl w:val="0"/>
          <w:numId w:val="0"/>
        </w:numPr>
        <w:rPr>
          <w:rFonts w:hint="eastAsia" w:ascii="仿宋_GB2312" w:hAnsi="仿宋_GB2312" w:eastAsia="仿宋_GB2312" w:cs="仿宋_GB2312"/>
          <w:sz w:val="32"/>
          <w:szCs w:val="40"/>
          <w:u w:val="none"/>
          <w:lang w:val="en-US" w:eastAsia="zh-CN"/>
        </w:rPr>
      </w:pPr>
      <w:r>
        <w:drawing>
          <wp:inline distT="0" distB="0" distL="114300" distR="114300">
            <wp:extent cx="5561330" cy="2235200"/>
            <wp:effectExtent l="0" t="0" r="0" b="0"/>
            <wp:docPr id="4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outlineLvl w:val="0"/>
        <w:rPr>
          <w:rFonts w:hint="eastAsia" w:ascii="黑体" w:hAnsi="黑体" w:eastAsia="黑体" w:cs="黑体"/>
          <w:sz w:val="32"/>
          <w:szCs w:val="32"/>
          <w:lang w:val="en-US" w:eastAsia="zh-CN"/>
        </w:rPr>
      </w:pPr>
      <w:bookmarkStart w:id="17" w:name="_Toc27661"/>
      <w:r>
        <w:rPr>
          <w:rFonts w:hint="eastAsia" w:ascii="黑体" w:hAnsi="黑体" w:eastAsia="黑体" w:cs="黑体"/>
          <w:sz w:val="32"/>
          <w:szCs w:val="32"/>
          <w:lang w:val="en-US" w:eastAsia="zh-CN"/>
        </w:rPr>
        <w:t>六、城市居民绿色生态需求</w:t>
      </w:r>
      <w:bookmarkEnd w:id="17"/>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楷体" w:hAnsi="楷体" w:eastAsia="楷体" w:cs="楷体"/>
          <w:sz w:val="32"/>
          <w:szCs w:val="40"/>
          <w:lang w:val="en-US" w:eastAsia="zh-CN"/>
        </w:rPr>
      </w:pPr>
      <w:bookmarkStart w:id="18" w:name="_Toc24547"/>
      <w:r>
        <w:rPr>
          <w:rFonts w:hint="eastAsia" w:ascii="楷体" w:hAnsi="楷体" w:eastAsia="楷体" w:cs="楷体"/>
          <w:sz w:val="32"/>
          <w:szCs w:val="40"/>
          <w:lang w:val="en-US" w:eastAsia="zh-CN"/>
        </w:rPr>
        <w:t>（一）城市建成区绿地面积</w:t>
      </w:r>
      <w:bookmarkEnd w:id="18"/>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2021年年末，全国城市建成区绿地面积249.25万公顷，同比增长3.94%。</w:t>
      </w:r>
    </w:p>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32"/>
          <w:szCs w:val="40"/>
          <w:u w:val="none"/>
          <w:lang w:val="en-US" w:eastAsia="zh-CN"/>
        </w:rPr>
      </w:pPr>
      <w:r>
        <w:drawing>
          <wp:inline distT="0" distB="0" distL="114300" distR="114300">
            <wp:extent cx="4868545" cy="2109470"/>
            <wp:effectExtent l="0" t="0" r="0" b="0"/>
            <wp:docPr id="5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从行政分区看，广东和山东城市建成区绿地面积超过20万公顷，江苏、四川、浙江、河南、湖北和辽宁6个省份超过10万公顷；安徽、北京、河北、湖南、江西、福建、重庆、黑龙江、广西、吉林、陕西和山西12个省（区、市）超过5万公顷；新疆、内蒙古、云南、贵州、上海、天津、甘肃、宁夏、海南、青海、西藏11个省（区、市）和新疆兵团不足5万公顷。</w:t>
      </w:r>
    </w:p>
    <w:p>
      <w:pPr>
        <w:numPr>
          <w:ilvl w:val="0"/>
          <w:numId w:val="0"/>
        </w:numPr>
        <w:jc w:val="center"/>
        <w:rPr>
          <w:rFonts w:hint="eastAsia" w:ascii="仿宋_GB2312" w:hAnsi="仿宋_GB2312" w:eastAsia="仿宋_GB2312" w:cs="仿宋_GB2312"/>
          <w:sz w:val="32"/>
          <w:szCs w:val="40"/>
          <w:u w:val="none"/>
          <w:lang w:val="en-US" w:eastAsia="zh-CN"/>
        </w:rPr>
      </w:pPr>
      <w:r>
        <w:drawing>
          <wp:inline distT="0" distB="0" distL="114300" distR="114300">
            <wp:extent cx="5271135" cy="2064385"/>
            <wp:effectExtent l="0" t="0" r="0" b="0"/>
            <wp:docPr id="5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楷体" w:hAnsi="楷体" w:eastAsia="楷体" w:cs="楷体"/>
          <w:sz w:val="32"/>
          <w:szCs w:val="40"/>
          <w:lang w:val="en-US" w:eastAsia="zh-CN"/>
        </w:rPr>
      </w:pPr>
      <w:bookmarkStart w:id="19" w:name="_Toc23089"/>
      <w:r>
        <w:rPr>
          <w:rFonts w:hint="eastAsia" w:ascii="楷体" w:hAnsi="楷体" w:eastAsia="楷体" w:cs="楷体"/>
          <w:sz w:val="32"/>
          <w:szCs w:val="40"/>
          <w:lang w:val="en-US" w:eastAsia="zh-CN"/>
        </w:rPr>
        <w:t>（二）城市建成区绿地率</w:t>
      </w:r>
      <w:bookmarkEnd w:id="19"/>
    </w:p>
    <w:p>
      <w:p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2021年，城市建成区绿地率38.70%，比上年增加0.46个百分点。</w:t>
      </w:r>
    </w:p>
    <w:p>
      <w:pPr>
        <w:numPr>
          <w:ilvl w:val="0"/>
          <w:numId w:val="0"/>
        </w:numPr>
        <w:jc w:val="center"/>
      </w:pPr>
      <w:r>
        <w:drawing>
          <wp:inline distT="0" distB="0" distL="114300" distR="114300">
            <wp:extent cx="4244975" cy="1799590"/>
            <wp:effectExtent l="0" t="0" r="0" b="0"/>
            <wp:docPr id="52" name="图表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pPr>
        <w:numPr>
          <w:ilvl w:val="0"/>
          <w:numId w:val="0"/>
        </w:num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从行政分区看，北京、江西、福建、江苏、安徽5个省（市）和新疆兵团城市建成区绿地率超过40%；山西、贵州、宁夏、辽宁、重庆、河北、广东、山东、湖北、内蒙古、云南、湖南、四川、陕西、浙江、新疆、海南、吉林、河南、上海、西藏、广西和天津23个省（区、市）在35%-40%；黑龙江、青海和甘肃3个省份低于35%。</w:t>
      </w:r>
    </w:p>
    <w:p>
      <w:pPr>
        <w:numPr>
          <w:ilvl w:val="0"/>
          <w:numId w:val="0"/>
        </w:numPr>
        <w:rPr>
          <w:rFonts w:hint="default"/>
          <w:lang w:val="en-US" w:eastAsia="zh-CN"/>
        </w:rPr>
      </w:pPr>
      <w:r>
        <w:drawing>
          <wp:inline distT="0" distB="0" distL="114300" distR="114300">
            <wp:extent cx="5271135" cy="2120900"/>
            <wp:effectExtent l="0" t="0" r="0" b="0"/>
            <wp:docPr id="5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楷体" w:hAnsi="楷体" w:eastAsia="楷体" w:cs="楷体"/>
          <w:sz w:val="32"/>
          <w:szCs w:val="40"/>
          <w:u w:val="single"/>
          <w:lang w:val="en-US" w:eastAsia="zh-CN"/>
        </w:rPr>
      </w:pPr>
      <w:bookmarkStart w:id="20" w:name="_Toc30788"/>
      <w:r>
        <w:rPr>
          <w:rFonts w:hint="eastAsia" w:ascii="楷体" w:hAnsi="楷体" w:eastAsia="楷体" w:cs="楷体"/>
          <w:sz w:val="32"/>
          <w:szCs w:val="40"/>
          <w:lang w:val="en-US" w:eastAsia="zh-CN"/>
        </w:rPr>
        <w:t>（三）城市人均公园绿地面积</w:t>
      </w:r>
      <w:bookmarkEnd w:id="20"/>
    </w:p>
    <w:p>
      <w:pPr>
        <w:ind w:firstLine="640" w:firstLineChars="200"/>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2021年，城市人均公园绿地面积14.87平方米，比上年增加0.09平方米。</w:t>
      </w:r>
    </w:p>
    <w:p>
      <w:pPr>
        <w:numPr>
          <w:ilvl w:val="0"/>
          <w:numId w:val="0"/>
        </w:numPr>
        <w:jc w:val="center"/>
        <w:rPr>
          <w:rFonts w:hint="eastAsia" w:ascii="仿宋_GB2312" w:hAnsi="仿宋_GB2312" w:eastAsia="仿宋_GB2312" w:cs="仿宋_GB2312"/>
          <w:sz w:val="32"/>
          <w:szCs w:val="40"/>
          <w:u w:val="single"/>
          <w:lang w:val="en-US" w:eastAsia="zh-CN"/>
        </w:rPr>
      </w:pPr>
      <w:r>
        <w:drawing>
          <wp:inline distT="0" distB="0" distL="114300" distR="114300">
            <wp:extent cx="4572000" cy="1722120"/>
            <wp:effectExtent l="0" t="0" r="0" b="0"/>
            <wp:docPr id="5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pPr>
        <w:numPr>
          <w:ilvl w:val="0"/>
          <w:numId w:val="0"/>
        </w:numPr>
        <w:ind w:firstLine="640" w:firstLineChars="200"/>
        <w:rPr>
          <w:rFonts w:hint="default"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从行政分区看，宁夏、内蒙古、山东、广东、重庆、北京、江西、贵州、江苏、河北、河南、福建12个省（区、市）和新疆兵团城市人均公园绿地面积超过15平方米；甘肃、湖北、安徽、新疆、广西、四川、山西、黑龙江、吉林、辽宁、西藏、海南、云南、陕西、浙江、青海和湖南17个省（区）介于12-15平方米；天津和上海低于10平方米。</w:t>
      </w:r>
    </w:p>
    <w:p>
      <w:pPr>
        <w:numPr>
          <w:ilvl w:val="0"/>
          <w:numId w:val="0"/>
        </w:numPr>
      </w:pPr>
      <w:r>
        <w:drawing>
          <wp:inline distT="0" distB="0" distL="114300" distR="114300">
            <wp:extent cx="5491480" cy="2225040"/>
            <wp:effectExtent l="0" t="0" r="0" b="0"/>
            <wp:docPr id="5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pStyle w:val="5"/>
        <w:keepNext w:val="0"/>
        <w:keepLines w:val="0"/>
        <w:widowControl/>
        <w:suppressLineNumbers w:val="0"/>
        <w:shd w:val="clear" w:fill="FFFFFF"/>
        <w:spacing w:before="180" w:beforeAutospacing="0" w:line="360" w:lineRule="atLeast"/>
        <w:ind w:left="0" w:firstLine="482" w:firstLineChars="200"/>
        <w:rPr>
          <w:rFonts w:hint="eastAsia" w:ascii="楷体" w:hAnsi="楷体" w:eastAsia="楷体" w:cs="楷体"/>
          <w:b/>
          <w:bCs/>
          <w:color w:val="333333"/>
          <w:shd w:val="clear" w:fill="FFFFFF"/>
          <w:lang w:val="en-US"/>
        </w:rPr>
      </w:pPr>
      <w:r>
        <w:rPr>
          <w:rFonts w:hint="eastAsia" w:ascii="楷体" w:hAnsi="楷体" w:eastAsia="楷体" w:cs="楷体"/>
          <w:b/>
          <w:bCs/>
          <w:color w:val="333333"/>
          <w:shd w:val="clear" w:fill="FFFFFF"/>
          <w:lang w:eastAsia="zh-CN"/>
        </w:rPr>
        <w:t>注释：</w:t>
      </w:r>
    </w:p>
    <w:p>
      <w:pPr>
        <w:pStyle w:val="5"/>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1.</w:t>
      </w:r>
      <w:r>
        <w:rPr>
          <w:rFonts w:hint="eastAsia" w:ascii="楷体" w:hAnsi="楷体" w:eastAsia="楷体" w:cs="楷体"/>
          <w:color w:val="000000"/>
          <w:shd w:val="clear" w:fill="FFFFFF"/>
          <w:lang w:eastAsia="zh-CN"/>
        </w:rPr>
        <w:t>香港、澳门特别行政区及台湾省统计数据未包括在本公报内。</w:t>
      </w:r>
    </w:p>
    <w:p>
      <w:pPr>
        <w:pStyle w:val="5"/>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2.</w:t>
      </w:r>
      <w:r>
        <w:rPr>
          <w:rFonts w:hint="eastAsia" w:ascii="楷体" w:hAnsi="楷体" w:eastAsia="楷体" w:cs="楷体"/>
          <w:color w:val="000000"/>
          <w:shd w:val="clear" w:fill="FFFFFF"/>
          <w:lang w:eastAsia="zh-CN"/>
        </w:rPr>
        <w:t>本公报统计范围为设市的城区：</w:t>
      </w:r>
      <w:r>
        <w:rPr>
          <w:rFonts w:hint="eastAsia" w:ascii="楷体" w:hAnsi="楷体" w:eastAsia="楷体" w:cs="楷体"/>
          <w:color w:val="000000"/>
          <w:shd w:val="clear" w:fill="FFFFFF"/>
          <w:lang w:val="en-US"/>
        </w:rPr>
        <w:t>(1</w:t>
      </w:r>
      <w:r>
        <w:rPr>
          <w:rFonts w:hint="eastAsia" w:ascii="楷体" w:hAnsi="楷体" w:eastAsia="楷体" w:cs="楷体"/>
          <w:color w:val="000000"/>
          <w:shd w:val="clear" w:fill="FFFFFF"/>
          <w:lang w:val="en-US" w:eastAsia="zh-CN"/>
        </w:rPr>
        <w:t>）</w:t>
      </w:r>
      <w:r>
        <w:rPr>
          <w:rFonts w:hint="eastAsia" w:ascii="楷体" w:hAnsi="楷体" w:eastAsia="楷体" w:cs="楷体"/>
          <w:color w:val="000000"/>
          <w:shd w:val="clear" w:fill="FFFFFF"/>
          <w:lang w:eastAsia="zh-CN"/>
        </w:rPr>
        <w:t>街道办事处所辖地域；</w:t>
      </w:r>
      <w:r>
        <w:rPr>
          <w:rFonts w:hint="eastAsia" w:ascii="楷体" w:hAnsi="楷体" w:eastAsia="楷体" w:cs="楷体"/>
          <w:color w:val="000000"/>
          <w:shd w:val="clear" w:fill="FFFFFF"/>
          <w:lang w:val="en-US"/>
        </w:rPr>
        <w:t>(2</w:t>
      </w:r>
      <w:r>
        <w:rPr>
          <w:rFonts w:hint="eastAsia" w:ascii="楷体" w:hAnsi="楷体" w:eastAsia="楷体" w:cs="楷体"/>
          <w:color w:val="000000"/>
          <w:shd w:val="clear" w:fill="FFFFFF"/>
          <w:lang w:val="en-US" w:eastAsia="zh-CN"/>
        </w:rPr>
        <w:t>）</w:t>
      </w:r>
      <w:r>
        <w:rPr>
          <w:rFonts w:hint="eastAsia" w:ascii="楷体" w:hAnsi="楷体" w:eastAsia="楷体" w:cs="楷体"/>
          <w:color w:val="000000"/>
          <w:shd w:val="clear" w:fill="FFFFFF"/>
          <w:lang w:eastAsia="zh-CN"/>
        </w:rPr>
        <w:t>城市公共设施、居住设施和市政公用设施等连接到的其他镇（乡）地域；（</w:t>
      </w:r>
      <w:r>
        <w:rPr>
          <w:rFonts w:hint="eastAsia" w:ascii="楷体" w:hAnsi="楷体" w:eastAsia="楷体" w:cs="楷体"/>
          <w:color w:val="000000"/>
          <w:shd w:val="clear" w:fill="FFFFFF"/>
          <w:lang w:val="en-US"/>
        </w:rPr>
        <w:t>3</w:t>
      </w:r>
      <w:r>
        <w:rPr>
          <w:rFonts w:hint="eastAsia" w:ascii="楷体" w:hAnsi="楷体" w:eastAsia="楷体" w:cs="楷体"/>
          <w:color w:val="000000"/>
          <w:shd w:val="clear" w:fill="FFFFFF"/>
          <w:lang w:eastAsia="zh-CN"/>
        </w:rPr>
        <w:t>）常住人口在</w:t>
      </w:r>
      <w:r>
        <w:rPr>
          <w:rFonts w:hint="eastAsia" w:ascii="楷体" w:hAnsi="楷体" w:eastAsia="楷体" w:cs="楷体"/>
          <w:color w:val="000000"/>
          <w:shd w:val="clear" w:fill="FFFFFF"/>
          <w:lang w:val="en-US"/>
        </w:rPr>
        <w:t>3000</w:t>
      </w:r>
      <w:r>
        <w:rPr>
          <w:rFonts w:hint="eastAsia" w:ascii="楷体" w:hAnsi="楷体" w:eastAsia="楷体" w:cs="楷体"/>
          <w:color w:val="000000"/>
          <w:shd w:val="clear" w:fill="FFFFFF"/>
          <w:lang w:eastAsia="zh-CN"/>
        </w:rPr>
        <w:t>人以上独立的工矿区、开发区、科研单位、大专院校等特殊区域。</w:t>
      </w:r>
    </w:p>
    <w:p>
      <w:pPr>
        <w:pStyle w:val="5"/>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eastAsia="zh-CN"/>
        </w:rPr>
        <w:t>3</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val="en-US" w:eastAsia="zh-CN"/>
        </w:rPr>
        <w:t>本公报</w:t>
      </w:r>
      <w:r>
        <w:rPr>
          <w:rFonts w:hint="eastAsia" w:ascii="楷体" w:hAnsi="楷体" w:eastAsia="楷体" w:cs="楷体"/>
          <w:color w:val="000000"/>
          <w:shd w:val="clear" w:fill="FFFFFF"/>
          <w:lang w:eastAsia="zh-CN"/>
        </w:rPr>
        <w:t>城区人口包含城区户籍人口和城区暂住人口。</w:t>
      </w:r>
    </w:p>
    <w:p>
      <w:pPr>
        <w:pStyle w:val="5"/>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eastAsia="zh-CN"/>
        </w:rPr>
      </w:pPr>
      <w:r>
        <w:rPr>
          <w:rFonts w:hint="eastAsia" w:ascii="楷体" w:hAnsi="楷体" w:eastAsia="楷体" w:cs="楷体"/>
          <w:color w:val="000000"/>
          <w:shd w:val="clear" w:fill="FFFFFF"/>
          <w:lang w:val="en-US" w:eastAsia="zh-CN"/>
        </w:rPr>
        <w:t>4</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本公报中所有人均指标、普及率指标均以户籍人口与暂住人口合计为分母计算。</w:t>
      </w:r>
    </w:p>
    <w:p>
      <w:pPr>
        <w:pStyle w:val="5"/>
        <w:keepNext w:val="0"/>
        <w:keepLines w:val="0"/>
        <w:widowControl/>
        <w:suppressLineNumbers w:val="0"/>
        <w:shd w:val="clear" w:fill="FFFFFF"/>
        <w:snapToGrid w:val="0"/>
        <w:spacing w:before="120" w:beforeAutospacing="0"/>
        <w:ind w:left="0" w:firstLine="480" w:firstLineChars="200"/>
        <w:rPr>
          <w:rFonts w:hint="default" w:ascii="楷体" w:hAnsi="楷体" w:eastAsia="楷体" w:cs="楷体"/>
          <w:color w:val="000000"/>
          <w:shd w:val="clear" w:fill="FFFFFF"/>
          <w:lang w:val="en-US" w:eastAsia="zh-CN"/>
        </w:rPr>
      </w:pPr>
      <w:r>
        <w:rPr>
          <w:rFonts w:hint="eastAsia" w:ascii="楷体" w:hAnsi="楷体" w:eastAsia="楷体" w:cs="楷体"/>
          <w:color w:val="000000"/>
          <w:shd w:val="clear" w:fill="FFFFFF"/>
          <w:lang w:val="en-US" w:eastAsia="zh-CN"/>
        </w:rPr>
        <w:t>5.本公报中全国城市建成区面积不含北京市。</w:t>
      </w:r>
    </w:p>
    <w:p>
      <w:pPr>
        <w:pStyle w:val="5"/>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eastAsia="zh-CN"/>
        </w:rPr>
        <w:t>6</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本公报中全国市政公用设施固定资产投资</w:t>
      </w:r>
      <w:r>
        <w:rPr>
          <w:rFonts w:hint="eastAsia" w:ascii="楷体" w:hAnsi="楷体" w:eastAsia="楷体" w:cs="楷体"/>
          <w:color w:val="000000"/>
          <w:shd w:val="clear" w:fill="FFFFFF"/>
          <w:lang w:val="en-US" w:eastAsia="zh-CN"/>
        </w:rPr>
        <w:t>包含城市和县城。</w:t>
      </w:r>
      <w:r>
        <w:rPr>
          <w:rFonts w:hint="eastAsia" w:ascii="楷体" w:hAnsi="楷体" w:eastAsia="楷体" w:cs="楷体"/>
          <w:color w:val="000000"/>
          <w:shd w:val="clear" w:fill="FFFFFF"/>
          <w:lang w:eastAsia="zh-CN"/>
        </w:rPr>
        <w:t>统计口径为计划总投资在</w:t>
      </w:r>
      <w:r>
        <w:rPr>
          <w:rFonts w:hint="eastAsia" w:ascii="楷体" w:hAnsi="楷体" w:eastAsia="楷体" w:cs="楷体"/>
          <w:color w:val="000000"/>
          <w:shd w:val="clear" w:fill="FFFFFF"/>
          <w:lang w:val="en-US"/>
        </w:rPr>
        <w:t>5</w:t>
      </w:r>
      <w:r>
        <w:rPr>
          <w:rFonts w:hint="eastAsia" w:ascii="楷体" w:hAnsi="楷体" w:eastAsia="楷体" w:cs="楷体"/>
          <w:color w:val="000000"/>
          <w:shd w:val="clear" w:fill="FFFFFF"/>
          <w:lang w:eastAsia="zh-CN"/>
        </w:rPr>
        <w:t>万元以上的市政公用设施项目，不含住宅及其他方面的投资。</w:t>
      </w:r>
    </w:p>
    <w:p>
      <w:pPr>
        <w:pStyle w:val="5"/>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eastAsia="zh-CN"/>
        </w:rPr>
        <w:t>7</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供水综合生产能力是指按供水设施取水、净化、送水、出厂输水干管等环节设计能力计算的综合生产能力。</w:t>
      </w:r>
    </w:p>
    <w:p>
      <w:pPr>
        <w:pStyle w:val="5"/>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eastAsia="zh-CN"/>
        </w:rPr>
        <w:t>8</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供水总量是指报告期供水企业（单位）供出的全部水量。包括有效供水量和漏损水量。</w:t>
      </w:r>
    </w:p>
    <w:p>
      <w:pPr>
        <w:pStyle w:val="5"/>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eastAsia="zh-CN"/>
        </w:rPr>
        <w:t>9</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供气管道长度是指报告期末从气源厂压缩机的出口或门站出口至各类用户引入管之间的全部已经通气投入使用的管道长度。</w:t>
      </w:r>
    </w:p>
    <w:p>
      <w:pPr>
        <w:pStyle w:val="5"/>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1</w:t>
      </w:r>
      <w:r>
        <w:rPr>
          <w:rFonts w:hint="eastAsia" w:ascii="楷体" w:hAnsi="楷体" w:eastAsia="楷体" w:cs="楷体"/>
          <w:color w:val="000000"/>
          <w:shd w:val="clear" w:fill="FFFFFF"/>
          <w:lang w:val="en-US" w:eastAsia="zh-CN"/>
        </w:rPr>
        <w:t>0</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供气总量是指报告期燃气企业（单位）向用户供应的燃气数量。包括销售量和损失量。</w:t>
      </w:r>
    </w:p>
    <w:p>
      <w:pPr>
        <w:pStyle w:val="5"/>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1</w:t>
      </w:r>
      <w:r>
        <w:rPr>
          <w:rFonts w:hint="eastAsia" w:ascii="楷体" w:hAnsi="楷体" w:eastAsia="楷体" w:cs="楷体"/>
          <w:color w:val="000000"/>
          <w:shd w:val="clear" w:fill="FFFFFF"/>
          <w:lang w:val="en-US" w:eastAsia="zh-CN"/>
        </w:rPr>
        <w:t>1</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供热能力是指供热企业（单位）向城市热用户输送热能的设计能力。</w:t>
      </w:r>
    </w:p>
    <w:p>
      <w:pPr>
        <w:pStyle w:val="5"/>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1</w:t>
      </w:r>
      <w:r>
        <w:rPr>
          <w:rFonts w:hint="eastAsia" w:ascii="楷体" w:hAnsi="楷体" w:eastAsia="楷体" w:cs="楷体"/>
          <w:color w:val="000000"/>
          <w:shd w:val="clear" w:fill="FFFFFF"/>
          <w:lang w:val="en-US" w:eastAsia="zh-CN"/>
        </w:rPr>
        <w:t>2</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供热总量是指在报告期供热企业（单位）向城市热用户输送全部蒸汽和热水的总热量。</w:t>
      </w:r>
    </w:p>
    <w:p>
      <w:pPr>
        <w:pStyle w:val="5"/>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1</w:t>
      </w:r>
      <w:r>
        <w:rPr>
          <w:rFonts w:hint="eastAsia" w:ascii="楷体" w:hAnsi="楷体" w:eastAsia="楷体" w:cs="楷体"/>
          <w:color w:val="000000"/>
          <w:shd w:val="clear" w:fill="FFFFFF"/>
          <w:lang w:val="en-US" w:eastAsia="zh-CN"/>
        </w:rPr>
        <w:t>3</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供热管道长度是指从各类热源到热用户建筑物接入口之间的全部蒸汽和热水的管道长度。不包括各类热源厂内部的管道长度。</w:t>
      </w:r>
    </w:p>
    <w:p>
      <w:pPr>
        <w:pStyle w:val="5"/>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1</w:t>
      </w:r>
      <w:r>
        <w:rPr>
          <w:rFonts w:hint="eastAsia" w:ascii="楷体" w:hAnsi="楷体" w:eastAsia="楷体" w:cs="楷体"/>
          <w:color w:val="000000"/>
          <w:shd w:val="clear" w:fill="FFFFFF"/>
          <w:lang w:val="en-US" w:eastAsia="zh-CN"/>
        </w:rPr>
        <w:t>4</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城市轨道交通是指采用轨道结构进行承重和导向的车辆运输系统，依据城市交通总体规划的要求，设置全封闭或部分封闭的专用轨道线路，以列车或单车形式，运送相当规模客流量的公共交通方式。包括地铁系统、轻轨系统、单轨系统、有轨电车、磁浮系统、自动导向轨道系统和市域快速轨道系统。</w:t>
      </w:r>
    </w:p>
    <w:p>
      <w:pPr>
        <w:pStyle w:val="5"/>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1</w:t>
      </w:r>
      <w:r>
        <w:rPr>
          <w:rFonts w:hint="eastAsia" w:ascii="楷体" w:hAnsi="楷体" w:eastAsia="楷体" w:cs="楷体"/>
          <w:color w:val="000000"/>
          <w:shd w:val="clear" w:fill="FFFFFF"/>
          <w:lang w:val="en-US" w:eastAsia="zh-CN"/>
        </w:rPr>
        <w:t>5</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城市道路是指城市供车辆、行人通行的，具备一定技术条件的道路、桥梁、隧道及其附属设施。城市道路由车行道和人行道等组成。在统计时只统计路面宽度在</w:t>
      </w:r>
      <w:r>
        <w:rPr>
          <w:rFonts w:hint="eastAsia" w:ascii="楷体" w:hAnsi="楷体" w:eastAsia="楷体" w:cs="楷体"/>
          <w:color w:val="000000"/>
          <w:shd w:val="clear" w:fill="FFFFFF"/>
          <w:lang w:val="en-US"/>
        </w:rPr>
        <w:t>3.5</w:t>
      </w:r>
      <w:r>
        <w:rPr>
          <w:rFonts w:hint="eastAsia" w:ascii="楷体" w:hAnsi="楷体" w:eastAsia="楷体" w:cs="楷体"/>
          <w:color w:val="000000"/>
          <w:shd w:val="clear" w:fill="FFFFFF"/>
          <w:lang w:eastAsia="zh-CN"/>
        </w:rPr>
        <w:t>米（含</w:t>
      </w:r>
      <w:r>
        <w:rPr>
          <w:rFonts w:hint="eastAsia" w:ascii="楷体" w:hAnsi="楷体" w:eastAsia="楷体" w:cs="楷体"/>
          <w:color w:val="000000"/>
          <w:shd w:val="clear" w:fill="FFFFFF"/>
          <w:lang w:val="en-US"/>
        </w:rPr>
        <w:t>3.5</w:t>
      </w:r>
      <w:r>
        <w:rPr>
          <w:rFonts w:hint="eastAsia" w:ascii="楷体" w:hAnsi="楷体" w:eastAsia="楷体" w:cs="楷体"/>
          <w:color w:val="000000"/>
          <w:shd w:val="clear" w:fill="FFFFFF"/>
          <w:lang w:eastAsia="zh-CN"/>
        </w:rPr>
        <w:t>米）以上的各种铺装道路，包括开放型工业区和住宅区道路在内。</w:t>
      </w:r>
    </w:p>
    <w:p>
      <w:pPr>
        <w:pStyle w:val="5"/>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1</w:t>
      </w:r>
      <w:r>
        <w:rPr>
          <w:rFonts w:hint="eastAsia" w:ascii="楷体" w:hAnsi="楷体" w:eastAsia="楷体" w:cs="楷体"/>
          <w:color w:val="000000"/>
          <w:shd w:val="clear" w:fill="FFFFFF"/>
          <w:lang w:val="en-US" w:eastAsia="zh-CN"/>
        </w:rPr>
        <w:t>6</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排水管道长度是指所有市政排水总管、干管、支管、检查井及连接井进出口等长度之和。</w:t>
      </w:r>
    </w:p>
    <w:p>
      <w:pPr>
        <w:pStyle w:val="5"/>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1</w:t>
      </w:r>
      <w:r>
        <w:rPr>
          <w:rFonts w:hint="eastAsia" w:ascii="楷体" w:hAnsi="楷体" w:eastAsia="楷体" w:cs="楷体"/>
          <w:color w:val="000000"/>
          <w:shd w:val="clear" w:fill="FFFFFF"/>
          <w:lang w:val="en-US" w:eastAsia="zh-CN"/>
        </w:rPr>
        <w:t>7</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污水处理</w:t>
      </w:r>
      <w:r>
        <w:rPr>
          <w:rFonts w:hint="eastAsia" w:ascii="楷体" w:hAnsi="楷体" w:eastAsia="楷体" w:cs="楷体"/>
          <w:color w:val="000000"/>
          <w:shd w:val="clear" w:fill="FFFFFF"/>
          <w:lang w:val="en-US" w:eastAsia="zh-CN"/>
        </w:rPr>
        <w:t>厂处理</w:t>
      </w:r>
      <w:r>
        <w:rPr>
          <w:rFonts w:hint="eastAsia" w:ascii="楷体" w:hAnsi="楷体" w:eastAsia="楷体" w:cs="楷体"/>
          <w:color w:val="000000"/>
          <w:shd w:val="clear" w:fill="FFFFFF"/>
          <w:lang w:eastAsia="zh-CN"/>
        </w:rPr>
        <w:t>能力是指污水处理厂每昼夜处理污水量的设计能力。</w:t>
      </w:r>
    </w:p>
    <w:p>
      <w:pPr>
        <w:pStyle w:val="5"/>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eastAsia="zh-CN"/>
        </w:rPr>
        <w:t>18</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生活垃圾无害化处理能力是指按工艺设计每天所能处理生活垃圾的数量。</w:t>
      </w:r>
    </w:p>
    <w:p>
      <w:pPr>
        <w:pStyle w:val="5"/>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eastAsia="zh-CN"/>
        </w:rPr>
        <w:t>19</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生活垃圾焚烧处理能力指生活垃圾焚烧厂按工艺设计，每天所能处理生活垃圾的数量。</w:t>
      </w:r>
    </w:p>
    <w:p>
      <w:pPr>
        <w:pStyle w:val="5"/>
        <w:keepNext w:val="0"/>
        <w:keepLines w:val="0"/>
        <w:widowControl/>
        <w:suppressLineNumbers w:val="0"/>
        <w:shd w:val="clear" w:fill="FFFFFF"/>
        <w:snapToGrid w:val="0"/>
        <w:spacing w:before="120" w:beforeAutospacing="0"/>
        <w:ind w:left="0" w:firstLine="480" w:firstLineChars="200"/>
        <w:rPr>
          <w:rFonts w:hint="eastAsia" w:ascii="楷体" w:hAnsi="楷体" w:eastAsia="楷体" w:cs="楷体"/>
          <w:color w:val="000000"/>
          <w:shd w:val="clear" w:fill="FFFFFF"/>
          <w:lang w:val="en-US"/>
        </w:rPr>
      </w:pPr>
      <w:r>
        <w:rPr>
          <w:rFonts w:hint="eastAsia" w:ascii="楷体" w:hAnsi="楷体" w:eastAsia="楷体" w:cs="楷体"/>
          <w:color w:val="000000"/>
          <w:shd w:val="clear" w:fill="FFFFFF"/>
          <w:lang w:val="en-US"/>
        </w:rPr>
        <w:t>2</w:t>
      </w:r>
      <w:r>
        <w:rPr>
          <w:rFonts w:hint="eastAsia" w:ascii="楷体" w:hAnsi="楷体" w:eastAsia="楷体" w:cs="楷体"/>
          <w:color w:val="000000"/>
          <w:shd w:val="clear" w:fill="FFFFFF"/>
          <w:lang w:val="en-US" w:eastAsia="zh-CN"/>
        </w:rPr>
        <w:t>0</w:t>
      </w:r>
      <w:r>
        <w:rPr>
          <w:rFonts w:hint="eastAsia" w:ascii="楷体" w:hAnsi="楷体" w:eastAsia="楷体" w:cs="楷体"/>
          <w:color w:val="000000"/>
          <w:shd w:val="clear" w:fill="FFFFFF"/>
          <w:lang w:val="en-US"/>
        </w:rPr>
        <w:t>.</w:t>
      </w:r>
      <w:r>
        <w:rPr>
          <w:rFonts w:hint="eastAsia" w:ascii="楷体" w:hAnsi="楷体" w:eastAsia="楷体" w:cs="楷体"/>
          <w:color w:val="000000"/>
          <w:shd w:val="clear" w:fill="FFFFFF"/>
          <w:lang w:eastAsia="zh-CN"/>
        </w:rPr>
        <w:t>绿地面积是指报告期末用作园林和绿化的各种绿地面积。包括公园绿地、防护绿地、广场用地、附属绿地和位于建成区范围内的区域绿地面积。</w:t>
      </w:r>
    </w:p>
    <w:p>
      <w:pPr>
        <w:keepNext w:val="0"/>
        <w:keepLines w:val="0"/>
        <w:widowControl w:val="0"/>
        <w:suppressLineNumbers w:val="0"/>
        <w:spacing w:before="0" w:beforeAutospacing="0" w:after="0" w:afterAutospacing="0"/>
        <w:ind w:left="0" w:right="0"/>
        <w:jc w:val="both"/>
        <w:rPr>
          <w:lang w:val="en-US"/>
        </w:rPr>
      </w:pPr>
    </w:p>
    <w:p>
      <w:pPr>
        <w:numPr>
          <w:ilvl w:val="0"/>
          <w:numId w:val="0"/>
        </w:numPr>
        <w:rPr>
          <w:rFonts w:hint="eastAsia" w:ascii="楷体" w:hAnsi="楷体" w:eastAsia="楷体" w:cs="楷体"/>
          <w:lang w:val="en-US" w:eastAsia="zh-CN"/>
        </w:rPr>
      </w:pPr>
    </w:p>
    <w:p>
      <w:pPr>
        <w:numPr>
          <w:ilvl w:val="0"/>
          <w:numId w:val="0"/>
        </w:numPr>
        <w:rPr>
          <w:rFonts w:hint="eastAsia" w:ascii="楷体" w:hAnsi="楷体" w:eastAsia="楷体" w:cs="楷体"/>
          <w:sz w:val="32"/>
          <w:szCs w:val="40"/>
          <w:lang w:val="en-US" w:eastAsia="zh-CN"/>
        </w:rPr>
      </w:pPr>
    </w:p>
    <w:p>
      <w:pPr>
        <w:numPr>
          <w:ilvl w:val="0"/>
          <w:numId w:val="0"/>
        </w:numPr>
        <w:rPr>
          <w:rFonts w:hint="default"/>
          <w:lang w:val="en-US" w:eastAsia="zh-CN"/>
        </w:rPr>
      </w:pPr>
    </w:p>
    <w:p>
      <w:pPr>
        <w:numPr>
          <w:ilvl w:val="0"/>
          <w:numId w:val="0"/>
        </w:numPr>
        <w:ind w:firstLine="640" w:firstLineChars="200"/>
        <w:rPr>
          <w:rFonts w:hint="eastAsia" w:ascii="仿宋_GB2312" w:hAnsi="仿宋_GB2312" w:eastAsia="仿宋_GB2312" w:cs="仿宋_GB2312"/>
          <w:sz w:val="32"/>
          <w:szCs w:val="40"/>
          <w:u w:val="none"/>
          <w:lang w:val="en-US" w:eastAsia="zh-CN"/>
        </w:rPr>
      </w:pPr>
    </w:p>
    <w:p>
      <w:pPr>
        <w:numPr>
          <w:ilvl w:val="0"/>
          <w:numId w:val="0"/>
        </w:numPr>
      </w:pPr>
    </w:p>
    <w:p>
      <w:pPr>
        <w:numPr>
          <w:ilvl w:val="0"/>
          <w:numId w:val="0"/>
        </w:numPr>
        <w:ind w:firstLine="420" w:firstLineChars="200"/>
        <w:rPr>
          <w:rFonts w:hint="default"/>
          <w:lang w:val="en-US" w:eastAsia="zh-CN"/>
        </w:rPr>
      </w:pPr>
    </w:p>
    <w:p>
      <w:pPr>
        <w:numPr>
          <w:ilvl w:val="0"/>
          <w:numId w:val="0"/>
        </w:numPr>
        <w:rPr>
          <w:rFonts w:hint="default"/>
          <w:lang w:val="en-US" w:eastAsia="zh-CN"/>
        </w:rPr>
      </w:pPr>
    </w:p>
    <w:p>
      <w:pPr>
        <w:numPr>
          <w:ilvl w:val="0"/>
          <w:numId w:val="0"/>
        </w:numPr>
        <w:ind w:firstLine="420" w:firstLineChars="200"/>
      </w:pPr>
    </w:p>
    <w:p>
      <w:pPr>
        <w:numPr>
          <w:ilvl w:val="0"/>
          <w:numId w:val="0"/>
        </w:numPr>
        <w:ind w:firstLine="420" w:firstLineChars="200"/>
        <w:rPr>
          <w:rFonts w:hint="default"/>
          <w:lang w:val="en-US" w:eastAsia="zh-CN"/>
        </w:rPr>
      </w:pPr>
    </w:p>
    <w:p>
      <w:pPr>
        <w:numPr>
          <w:ilvl w:val="0"/>
          <w:numId w:val="0"/>
        </w:numPr>
        <w:ind w:firstLine="420" w:firstLineChars="200"/>
        <w:rPr>
          <w:rFonts w:hint="default"/>
          <w:lang w:val="en-US" w:eastAsia="zh-CN"/>
        </w:rPr>
      </w:pPr>
    </w:p>
    <w:p>
      <w:pPr>
        <w:numPr>
          <w:ilvl w:val="0"/>
          <w:numId w:val="0"/>
        </w:numPr>
        <w:ind w:firstLine="420" w:firstLineChars="200"/>
      </w:pPr>
    </w:p>
    <w:p>
      <w:pPr>
        <w:numPr>
          <w:ilvl w:val="0"/>
          <w:numId w:val="0"/>
        </w:numPr>
        <w:ind w:firstLine="420" w:firstLineChars="200"/>
        <w:rPr>
          <w:rFonts w:hint="eastAsia"/>
          <w:lang w:val="en-US" w:eastAsia="zh-CN"/>
        </w:rPr>
      </w:pPr>
    </w:p>
    <w:p>
      <w:pPr>
        <w:numPr>
          <w:ilvl w:val="0"/>
          <w:numId w:val="0"/>
        </w:numPr>
        <w:ind w:firstLine="420" w:firstLineChars="200"/>
        <w:rPr>
          <w:rFonts w:hint="default"/>
          <w:lang w:val="en-US" w:eastAsia="zh-CN"/>
        </w:rPr>
      </w:pPr>
    </w:p>
    <w:p>
      <w:pPr>
        <w:numPr>
          <w:ilvl w:val="0"/>
          <w:numId w:val="0"/>
        </w:numPr>
        <w:ind w:firstLine="420" w:firstLineChars="200"/>
      </w:pPr>
    </w:p>
    <w:p>
      <w:pPr>
        <w:numPr>
          <w:ilvl w:val="0"/>
          <w:numId w:val="0"/>
        </w:numPr>
        <w:ind w:firstLine="420" w:firstLineChars="200"/>
        <w:rPr>
          <w:rFonts w:hint="eastAsia"/>
          <w:lang w:val="en-US" w:eastAsia="zh-CN"/>
        </w:rPr>
      </w:pPr>
    </w:p>
    <w:p>
      <w:pPr>
        <w:numPr>
          <w:ilvl w:val="0"/>
          <w:numId w:val="0"/>
        </w:numPr>
      </w:pPr>
    </w:p>
    <w:p>
      <w:pPr>
        <w:numPr>
          <w:ilvl w:val="0"/>
          <w:numId w:val="0"/>
        </w:numPr>
      </w:pPr>
    </w:p>
    <w:p>
      <w:pPr>
        <w:numPr>
          <w:ilvl w:val="0"/>
          <w:numId w:val="0"/>
        </w:numPr>
        <w:ind w:firstLine="420" w:firstLineChars="200"/>
        <w:rPr>
          <w:rFonts w:hint="eastAsia"/>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A531CF-74FD-4009-83EC-FA7ABCF18A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FE0EB5A1-867F-4ECB-B8E6-FBC1219E0C0D}"/>
  </w:font>
  <w:font w:name="仿宋_GB2312">
    <w:panose1 w:val="02010609030101010101"/>
    <w:charset w:val="86"/>
    <w:family w:val="auto"/>
    <w:pitch w:val="default"/>
    <w:sig w:usb0="00000001" w:usb1="080E0000" w:usb2="00000000" w:usb3="00000000" w:csb0="00040000" w:csb1="00000000"/>
    <w:embedRegular r:id="rId3" w:fontKey="{4AFCB7A7-771C-418C-960B-83FC4CE1E349}"/>
  </w:font>
  <w:font w:name="楷体">
    <w:panose1 w:val="02010609060101010101"/>
    <w:charset w:val="86"/>
    <w:family w:val="auto"/>
    <w:pitch w:val="default"/>
    <w:sig w:usb0="800002BF" w:usb1="38CF7CFA" w:usb2="00000016" w:usb3="00000000" w:csb0="00040001" w:csb1="00000000"/>
    <w:embedRegular r:id="rId4" w:fontKey="{E7CD6279-829D-4C33-A6BC-C2A40E4BBB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NWQ2YzNkMGQ2MDNkYzljNDcyYmE5ZmQ1YjRmMGQifQ=="/>
  </w:docVars>
  <w:rsids>
    <w:rsidRoot w:val="00000000"/>
    <w:rsid w:val="00BE2BB9"/>
    <w:rsid w:val="012B7085"/>
    <w:rsid w:val="018E53BB"/>
    <w:rsid w:val="02873BB9"/>
    <w:rsid w:val="02895B83"/>
    <w:rsid w:val="02BC1AB4"/>
    <w:rsid w:val="02FC45A7"/>
    <w:rsid w:val="03101E00"/>
    <w:rsid w:val="031C2553"/>
    <w:rsid w:val="03400B54"/>
    <w:rsid w:val="039E740C"/>
    <w:rsid w:val="03C00A66"/>
    <w:rsid w:val="03F4702C"/>
    <w:rsid w:val="04212517"/>
    <w:rsid w:val="0433224A"/>
    <w:rsid w:val="04B52C5F"/>
    <w:rsid w:val="04CC1F50"/>
    <w:rsid w:val="052120A3"/>
    <w:rsid w:val="054144F3"/>
    <w:rsid w:val="05551D4C"/>
    <w:rsid w:val="05614B95"/>
    <w:rsid w:val="058A5E9A"/>
    <w:rsid w:val="05AF76AE"/>
    <w:rsid w:val="05B922DB"/>
    <w:rsid w:val="05E355AA"/>
    <w:rsid w:val="06112117"/>
    <w:rsid w:val="065D535C"/>
    <w:rsid w:val="068E19BA"/>
    <w:rsid w:val="06E4782C"/>
    <w:rsid w:val="07035F04"/>
    <w:rsid w:val="076D7821"/>
    <w:rsid w:val="0782194D"/>
    <w:rsid w:val="07921036"/>
    <w:rsid w:val="079E5C2C"/>
    <w:rsid w:val="07CF4038"/>
    <w:rsid w:val="08395955"/>
    <w:rsid w:val="08844E22"/>
    <w:rsid w:val="08964B56"/>
    <w:rsid w:val="08992218"/>
    <w:rsid w:val="08A61E8A"/>
    <w:rsid w:val="08E415BE"/>
    <w:rsid w:val="091F4B4B"/>
    <w:rsid w:val="098D5F59"/>
    <w:rsid w:val="099077F7"/>
    <w:rsid w:val="09A3752A"/>
    <w:rsid w:val="09C12402"/>
    <w:rsid w:val="09C77C21"/>
    <w:rsid w:val="09E638BB"/>
    <w:rsid w:val="0A1E12A6"/>
    <w:rsid w:val="0A232419"/>
    <w:rsid w:val="0A3B59B5"/>
    <w:rsid w:val="0A6842D0"/>
    <w:rsid w:val="0A9450C5"/>
    <w:rsid w:val="0ABF0394"/>
    <w:rsid w:val="0AF65D7F"/>
    <w:rsid w:val="0B116715"/>
    <w:rsid w:val="0B3643CE"/>
    <w:rsid w:val="0B440899"/>
    <w:rsid w:val="0B4512CA"/>
    <w:rsid w:val="0B9F6417"/>
    <w:rsid w:val="0C670CE3"/>
    <w:rsid w:val="0CA737D5"/>
    <w:rsid w:val="0CDA7707"/>
    <w:rsid w:val="0CF86C25"/>
    <w:rsid w:val="0D096E88"/>
    <w:rsid w:val="0D4D5993"/>
    <w:rsid w:val="0D645222"/>
    <w:rsid w:val="0D662D48"/>
    <w:rsid w:val="0DCD726B"/>
    <w:rsid w:val="0E0B1B42"/>
    <w:rsid w:val="0E592DE1"/>
    <w:rsid w:val="0F0E7B3C"/>
    <w:rsid w:val="0F114F36"/>
    <w:rsid w:val="0F16254C"/>
    <w:rsid w:val="10284177"/>
    <w:rsid w:val="105F5922"/>
    <w:rsid w:val="10710382"/>
    <w:rsid w:val="108D4A90"/>
    <w:rsid w:val="10A51DDA"/>
    <w:rsid w:val="10B47C6B"/>
    <w:rsid w:val="110805BA"/>
    <w:rsid w:val="1111746F"/>
    <w:rsid w:val="111D5E14"/>
    <w:rsid w:val="11210FFD"/>
    <w:rsid w:val="112A0531"/>
    <w:rsid w:val="11943BFC"/>
    <w:rsid w:val="11DD1A47"/>
    <w:rsid w:val="12503FC7"/>
    <w:rsid w:val="128D6FC9"/>
    <w:rsid w:val="12EA441C"/>
    <w:rsid w:val="130C4392"/>
    <w:rsid w:val="1319085D"/>
    <w:rsid w:val="131E2317"/>
    <w:rsid w:val="13277FE5"/>
    <w:rsid w:val="136441CE"/>
    <w:rsid w:val="139F5206"/>
    <w:rsid w:val="13F07810"/>
    <w:rsid w:val="14ED01F3"/>
    <w:rsid w:val="152D239E"/>
    <w:rsid w:val="156C2EC6"/>
    <w:rsid w:val="15791A87"/>
    <w:rsid w:val="15A93CEF"/>
    <w:rsid w:val="15DB629E"/>
    <w:rsid w:val="15E05662"/>
    <w:rsid w:val="161A6DC6"/>
    <w:rsid w:val="16315EBE"/>
    <w:rsid w:val="163210DD"/>
    <w:rsid w:val="164D719B"/>
    <w:rsid w:val="166149F5"/>
    <w:rsid w:val="16677B31"/>
    <w:rsid w:val="1719707D"/>
    <w:rsid w:val="181F06C4"/>
    <w:rsid w:val="18245CDA"/>
    <w:rsid w:val="183A3CF4"/>
    <w:rsid w:val="18420856"/>
    <w:rsid w:val="18587969"/>
    <w:rsid w:val="186C142F"/>
    <w:rsid w:val="188D1AD1"/>
    <w:rsid w:val="18C63235"/>
    <w:rsid w:val="18DE232D"/>
    <w:rsid w:val="19573E8D"/>
    <w:rsid w:val="19C01A32"/>
    <w:rsid w:val="19C07C84"/>
    <w:rsid w:val="19EA1AAC"/>
    <w:rsid w:val="1A393593"/>
    <w:rsid w:val="1A644AB4"/>
    <w:rsid w:val="1AB64BE3"/>
    <w:rsid w:val="1AE16104"/>
    <w:rsid w:val="1AED4AA9"/>
    <w:rsid w:val="1B0F0EC3"/>
    <w:rsid w:val="1B245FF1"/>
    <w:rsid w:val="1B684130"/>
    <w:rsid w:val="1C88109E"/>
    <w:rsid w:val="1CA53161"/>
    <w:rsid w:val="1CE65C54"/>
    <w:rsid w:val="1CE912A0"/>
    <w:rsid w:val="1D315F33"/>
    <w:rsid w:val="1D7E40DE"/>
    <w:rsid w:val="1DD43CFE"/>
    <w:rsid w:val="1E796654"/>
    <w:rsid w:val="1E870D71"/>
    <w:rsid w:val="1E93334F"/>
    <w:rsid w:val="1EB27513"/>
    <w:rsid w:val="1EDD6BE3"/>
    <w:rsid w:val="1F0E4FEE"/>
    <w:rsid w:val="1F122D30"/>
    <w:rsid w:val="1F1F71FB"/>
    <w:rsid w:val="1F302CD6"/>
    <w:rsid w:val="1F947BE9"/>
    <w:rsid w:val="1F9574BD"/>
    <w:rsid w:val="1FF22B62"/>
    <w:rsid w:val="1FFE5062"/>
    <w:rsid w:val="2045139B"/>
    <w:rsid w:val="214967B1"/>
    <w:rsid w:val="219739C1"/>
    <w:rsid w:val="21D544E9"/>
    <w:rsid w:val="220F17A9"/>
    <w:rsid w:val="22123047"/>
    <w:rsid w:val="224F1BA5"/>
    <w:rsid w:val="22602004"/>
    <w:rsid w:val="2268710B"/>
    <w:rsid w:val="226D64CF"/>
    <w:rsid w:val="22E83DA8"/>
    <w:rsid w:val="22F10EAE"/>
    <w:rsid w:val="2331574F"/>
    <w:rsid w:val="23965625"/>
    <w:rsid w:val="23A67EEB"/>
    <w:rsid w:val="23E9602A"/>
    <w:rsid w:val="242E2C4F"/>
    <w:rsid w:val="24960973"/>
    <w:rsid w:val="24EA3E07"/>
    <w:rsid w:val="25205A7B"/>
    <w:rsid w:val="25627E42"/>
    <w:rsid w:val="25651C90"/>
    <w:rsid w:val="258E0C37"/>
    <w:rsid w:val="25981AB5"/>
    <w:rsid w:val="25B34B41"/>
    <w:rsid w:val="25D0124F"/>
    <w:rsid w:val="25DA20CE"/>
    <w:rsid w:val="26445423"/>
    <w:rsid w:val="26543C2E"/>
    <w:rsid w:val="26597496"/>
    <w:rsid w:val="26EB3E67"/>
    <w:rsid w:val="2705317A"/>
    <w:rsid w:val="274912B9"/>
    <w:rsid w:val="274E68CF"/>
    <w:rsid w:val="27750300"/>
    <w:rsid w:val="278B7B24"/>
    <w:rsid w:val="279A1B15"/>
    <w:rsid w:val="27A277B4"/>
    <w:rsid w:val="27DC037F"/>
    <w:rsid w:val="28884063"/>
    <w:rsid w:val="2938171F"/>
    <w:rsid w:val="29695C42"/>
    <w:rsid w:val="299F78B6"/>
    <w:rsid w:val="29D55086"/>
    <w:rsid w:val="29EA6657"/>
    <w:rsid w:val="2A1F4553"/>
    <w:rsid w:val="2A4346E5"/>
    <w:rsid w:val="2A697EC4"/>
    <w:rsid w:val="2A756869"/>
    <w:rsid w:val="2AD43392"/>
    <w:rsid w:val="2B0F6376"/>
    <w:rsid w:val="2B185788"/>
    <w:rsid w:val="2B604E23"/>
    <w:rsid w:val="2BAF7B59"/>
    <w:rsid w:val="2BBD04C8"/>
    <w:rsid w:val="2C7566AC"/>
    <w:rsid w:val="2C954FA0"/>
    <w:rsid w:val="2CCE2260"/>
    <w:rsid w:val="2CE13D42"/>
    <w:rsid w:val="2D197980"/>
    <w:rsid w:val="2D340315"/>
    <w:rsid w:val="2D560F91"/>
    <w:rsid w:val="2D7B4196"/>
    <w:rsid w:val="2D940D12"/>
    <w:rsid w:val="2D9447FA"/>
    <w:rsid w:val="2E073C7C"/>
    <w:rsid w:val="2E206AEC"/>
    <w:rsid w:val="2E400F3C"/>
    <w:rsid w:val="2E8E614B"/>
    <w:rsid w:val="2E9A651F"/>
    <w:rsid w:val="2EA74B17"/>
    <w:rsid w:val="2F067B02"/>
    <w:rsid w:val="2F8B61E7"/>
    <w:rsid w:val="300246FB"/>
    <w:rsid w:val="30313232"/>
    <w:rsid w:val="306233EC"/>
    <w:rsid w:val="30B05F05"/>
    <w:rsid w:val="30B33C47"/>
    <w:rsid w:val="31445AD2"/>
    <w:rsid w:val="31A35A6A"/>
    <w:rsid w:val="31C32959"/>
    <w:rsid w:val="31F12C79"/>
    <w:rsid w:val="31F6203D"/>
    <w:rsid w:val="327B0795"/>
    <w:rsid w:val="32931F82"/>
    <w:rsid w:val="32F742BF"/>
    <w:rsid w:val="332826CA"/>
    <w:rsid w:val="333252F7"/>
    <w:rsid w:val="3351295A"/>
    <w:rsid w:val="34847DD4"/>
    <w:rsid w:val="34EB1C02"/>
    <w:rsid w:val="35011425"/>
    <w:rsid w:val="35020CF9"/>
    <w:rsid w:val="350C5282"/>
    <w:rsid w:val="350D601C"/>
    <w:rsid w:val="35201724"/>
    <w:rsid w:val="35245113"/>
    <w:rsid w:val="353E75DF"/>
    <w:rsid w:val="3583008C"/>
    <w:rsid w:val="35897439"/>
    <w:rsid w:val="359009FB"/>
    <w:rsid w:val="3598340C"/>
    <w:rsid w:val="35A3428A"/>
    <w:rsid w:val="35DA1C76"/>
    <w:rsid w:val="35ED19A9"/>
    <w:rsid w:val="35EF74CF"/>
    <w:rsid w:val="36022C46"/>
    <w:rsid w:val="36266C69"/>
    <w:rsid w:val="36317AE8"/>
    <w:rsid w:val="36687282"/>
    <w:rsid w:val="36B6623F"/>
    <w:rsid w:val="36BE4FD8"/>
    <w:rsid w:val="370527BE"/>
    <w:rsid w:val="370E11AC"/>
    <w:rsid w:val="375021F0"/>
    <w:rsid w:val="375D2B5F"/>
    <w:rsid w:val="37643EED"/>
    <w:rsid w:val="377F4883"/>
    <w:rsid w:val="379C71E3"/>
    <w:rsid w:val="37B3277F"/>
    <w:rsid w:val="37DE5A4E"/>
    <w:rsid w:val="381F1BC2"/>
    <w:rsid w:val="385B6E6D"/>
    <w:rsid w:val="38675A43"/>
    <w:rsid w:val="3868730C"/>
    <w:rsid w:val="38763ED8"/>
    <w:rsid w:val="38A345A1"/>
    <w:rsid w:val="39664A80"/>
    <w:rsid w:val="39671A73"/>
    <w:rsid w:val="39686128"/>
    <w:rsid w:val="39932868"/>
    <w:rsid w:val="39E66E3B"/>
    <w:rsid w:val="3A2D6818"/>
    <w:rsid w:val="3A4F49E1"/>
    <w:rsid w:val="3AA36ADA"/>
    <w:rsid w:val="3AA60379"/>
    <w:rsid w:val="3AC64E44"/>
    <w:rsid w:val="3BBE148B"/>
    <w:rsid w:val="3C6E4EC6"/>
    <w:rsid w:val="3CA32DC2"/>
    <w:rsid w:val="3CA37266"/>
    <w:rsid w:val="3D115F7D"/>
    <w:rsid w:val="3D65451B"/>
    <w:rsid w:val="3DA54918"/>
    <w:rsid w:val="3E111FAD"/>
    <w:rsid w:val="3E4D52AC"/>
    <w:rsid w:val="3E5F0F6A"/>
    <w:rsid w:val="3E894239"/>
    <w:rsid w:val="3E927592"/>
    <w:rsid w:val="3E95498C"/>
    <w:rsid w:val="3F021A95"/>
    <w:rsid w:val="3F0A537A"/>
    <w:rsid w:val="3F0C10F2"/>
    <w:rsid w:val="3F874C1D"/>
    <w:rsid w:val="3F8F587F"/>
    <w:rsid w:val="3F9B06C8"/>
    <w:rsid w:val="400D3374"/>
    <w:rsid w:val="409F7D44"/>
    <w:rsid w:val="40B31AAC"/>
    <w:rsid w:val="41270465"/>
    <w:rsid w:val="414B0737"/>
    <w:rsid w:val="415671A8"/>
    <w:rsid w:val="41650F8E"/>
    <w:rsid w:val="41923405"/>
    <w:rsid w:val="419401EB"/>
    <w:rsid w:val="41C2018E"/>
    <w:rsid w:val="422B7AE1"/>
    <w:rsid w:val="423050F8"/>
    <w:rsid w:val="42997141"/>
    <w:rsid w:val="431B2153"/>
    <w:rsid w:val="43252782"/>
    <w:rsid w:val="43324E9F"/>
    <w:rsid w:val="439711A6"/>
    <w:rsid w:val="440D17C7"/>
    <w:rsid w:val="44703ED1"/>
    <w:rsid w:val="447A4D50"/>
    <w:rsid w:val="44A1052F"/>
    <w:rsid w:val="44D51F86"/>
    <w:rsid w:val="44DF4BB3"/>
    <w:rsid w:val="44F468B0"/>
    <w:rsid w:val="44F87A23"/>
    <w:rsid w:val="45246A6A"/>
    <w:rsid w:val="45921C25"/>
    <w:rsid w:val="46535859"/>
    <w:rsid w:val="465810C1"/>
    <w:rsid w:val="47152B0E"/>
    <w:rsid w:val="47283DCB"/>
    <w:rsid w:val="475D7D2A"/>
    <w:rsid w:val="476D294A"/>
    <w:rsid w:val="477C493B"/>
    <w:rsid w:val="47A143A2"/>
    <w:rsid w:val="47CD5197"/>
    <w:rsid w:val="481B4154"/>
    <w:rsid w:val="48912668"/>
    <w:rsid w:val="489A151D"/>
    <w:rsid w:val="48D82045"/>
    <w:rsid w:val="49042FF5"/>
    <w:rsid w:val="49180694"/>
    <w:rsid w:val="49374FBE"/>
    <w:rsid w:val="497E2BEC"/>
    <w:rsid w:val="49A40179"/>
    <w:rsid w:val="49AE4F6E"/>
    <w:rsid w:val="49E669E4"/>
    <w:rsid w:val="49EC082B"/>
    <w:rsid w:val="4A1E7F2C"/>
    <w:rsid w:val="4A282B58"/>
    <w:rsid w:val="4A421E6C"/>
    <w:rsid w:val="4A655B5A"/>
    <w:rsid w:val="4A7933B4"/>
    <w:rsid w:val="4AA523FB"/>
    <w:rsid w:val="4ADF76BB"/>
    <w:rsid w:val="4B3D45DA"/>
    <w:rsid w:val="4B6202EC"/>
    <w:rsid w:val="4C687565"/>
    <w:rsid w:val="4D245859"/>
    <w:rsid w:val="4D2770F7"/>
    <w:rsid w:val="4D587BF8"/>
    <w:rsid w:val="4DA70238"/>
    <w:rsid w:val="4DB3544E"/>
    <w:rsid w:val="4DE82D2A"/>
    <w:rsid w:val="4E0631B0"/>
    <w:rsid w:val="4E165AE9"/>
    <w:rsid w:val="4F0C0C9A"/>
    <w:rsid w:val="4F3124AF"/>
    <w:rsid w:val="4FF43C08"/>
    <w:rsid w:val="4FFF25AD"/>
    <w:rsid w:val="5015592D"/>
    <w:rsid w:val="50B138A7"/>
    <w:rsid w:val="50C335DB"/>
    <w:rsid w:val="50FB2D75"/>
    <w:rsid w:val="5124051D"/>
    <w:rsid w:val="51915487"/>
    <w:rsid w:val="51AC22C1"/>
    <w:rsid w:val="51DB6702"/>
    <w:rsid w:val="51F37EF0"/>
    <w:rsid w:val="521A1920"/>
    <w:rsid w:val="531E0F9C"/>
    <w:rsid w:val="53334A48"/>
    <w:rsid w:val="533635C3"/>
    <w:rsid w:val="53394028"/>
    <w:rsid w:val="53654E1D"/>
    <w:rsid w:val="53733096"/>
    <w:rsid w:val="53F266B1"/>
    <w:rsid w:val="53F35F85"/>
    <w:rsid w:val="54422A68"/>
    <w:rsid w:val="54617393"/>
    <w:rsid w:val="54745318"/>
    <w:rsid w:val="54890697"/>
    <w:rsid w:val="54DE5328"/>
    <w:rsid w:val="550261A7"/>
    <w:rsid w:val="5543118E"/>
    <w:rsid w:val="55493437"/>
    <w:rsid w:val="55766E6E"/>
    <w:rsid w:val="559B68D4"/>
    <w:rsid w:val="55B160F8"/>
    <w:rsid w:val="55C027DF"/>
    <w:rsid w:val="565C42B5"/>
    <w:rsid w:val="56644ABE"/>
    <w:rsid w:val="569752EE"/>
    <w:rsid w:val="56AB0D99"/>
    <w:rsid w:val="56C65BD3"/>
    <w:rsid w:val="56C97471"/>
    <w:rsid w:val="56F97D56"/>
    <w:rsid w:val="5717642E"/>
    <w:rsid w:val="57236B81"/>
    <w:rsid w:val="572F127F"/>
    <w:rsid w:val="57362D58"/>
    <w:rsid w:val="576553EC"/>
    <w:rsid w:val="578C2978"/>
    <w:rsid w:val="57B974E6"/>
    <w:rsid w:val="58360B36"/>
    <w:rsid w:val="583D0117"/>
    <w:rsid w:val="587846CB"/>
    <w:rsid w:val="5889335C"/>
    <w:rsid w:val="58A14202"/>
    <w:rsid w:val="58C148A4"/>
    <w:rsid w:val="58FA7DB6"/>
    <w:rsid w:val="58FB4535"/>
    <w:rsid w:val="591B0458"/>
    <w:rsid w:val="59262959"/>
    <w:rsid w:val="595A2602"/>
    <w:rsid w:val="59611BE3"/>
    <w:rsid w:val="597C07CB"/>
    <w:rsid w:val="59EE77EA"/>
    <w:rsid w:val="5A0233C6"/>
    <w:rsid w:val="5A184997"/>
    <w:rsid w:val="5A753B98"/>
    <w:rsid w:val="5AE42ACB"/>
    <w:rsid w:val="5B353327"/>
    <w:rsid w:val="5BB66216"/>
    <w:rsid w:val="5BC00E43"/>
    <w:rsid w:val="5BC546AB"/>
    <w:rsid w:val="5BD112A2"/>
    <w:rsid w:val="5C8005D2"/>
    <w:rsid w:val="5CB309A7"/>
    <w:rsid w:val="5CC44962"/>
    <w:rsid w:val="5CE2303B"/>
    <w:rsid w:val="5D465377"/>
    <w:rsid w:val="5D7320AF"/>
    <w:rsid w:val="5E2C6C63"/>
    <w:rsid w:val="5EE74938"/>
    <w:rsid w:val="5EE94B54"/>
    <w:rsid w:val="5EE96902"/>
    <w:rsid w:val="5F4C0C3F"/>
    <w:rsid w:val="5F702B80"/>
    <w:rsid w:val="5FA36AB1"/>
    <w:rsid w:val="600357A2"/>
    <w:rsid w:val="60261490"/>
    <w:rsid w:val="60383FDA"/>
    <w:rsid w:val="60A9459B"/>
    <w:rsid w:val="610A54D9"/>
    <w:rsid w:val="61320706"/>
    <w:rsid w:val="614B11AE"/>
    <w:rsid w:val="6152576D"/>
    <w:rsid w:val="61525904"/>
    <w:rsid w:val="61722BDF"/>
    <w:rsid w:val="61AD1E69"/>
    <w:rsid w:val="6200643D"/>
    <w:rsid w:val="6223212B"/>
    <w:rsid w:val="62257060"/>
    <w:rsid w:val="62314848"/>
    <w:rsid w:val="62816E52"/>
    <w:rsid w:val="62946B85"/>
    <w:rsid w:val="62B24A68"/>
    <w:rsid w:val="6300421A"/>
    <w:rsid w:val="630261E5"/>
    <w:rsid w:val="632717A7"/>
    <w:rsid w:val="63696264"/>
    <w:rsid w:val="63846BFA"/>
    <w:rsid w:val="639E415F"/>
    <w:rsid w:val="63A4104A"/>
    <w:rsid w:val="63EB6C79"/>
    <w:rsid w:val="6417181C"/>
    <w:rsid w:val="644D16E1"/>
    <w:rsid w:val="648140BB"/>
    <w:rsid w:val="64AF7CA6"/>
    <w:rsid w:val="64F16511"/>
    <w:rsid w:val="65424FBE"/>
    <w:rsid w:val="657C227E"/>
    <w:rsid w:val="657D7DA4"/>
    <w:rsid w:val="65867999"/>
    <w:rsid w:val="659B022A"/>
    <w:rsid w:val="65DD280C"/>
    <w:rsid w:val="65FF4C5D"/>
    <w:rsid w:val="661221A0"/>
    <w:rsid w:val="661F2C0A"/>
    <w:rsid w:val="66246472"/>
    <w:rsid w:val="6632293D"/>
    <w:rsid w:val="666B23BE"/>
    <w:rsid w:val="667C62AE"/>
    <w:rsid w:val="6683763C"/>
    <w:rsid w:val="668F4233"/>
    <w:rsid w:val="66990C0E"/>
    <w:rsid w:val="66B75538"/>
    <w:rsid w:val="66BC48FC"/>
    <w:rsid w:val="66CC3515"/>
    <w:rsid w:val="66DC6D4D"/>
    <w:rsid w:val="66FB5425"/>
    <w:rsid w:val="67861016"/>
    <w:rsid w:val="67A365F1"/>
    <w:rsid w:val="67A7735B"/>
    <w:rsid w:val="68106CAE"/>
    <w:rsid w:val="68151085"/>
    <w:rsid w:val="68A815DC"/>
    <w:rsid w:val="68AB69D7"/>
    <w:rsid w:val="68B12FF9"/>
    <w:rsid w:val="68B46EA7"/>
    <w:rsid w:val="68FD36D6"/>
    <w:rsid w:val="69201173"/>
    <w:rsid w:val="694806C9"/>
    <w:rsid w:val="698F00A6"/>
    <w:rsid w:val="69A73642"/>
    <w:rsid w:val="69E46644"/>
    <w:rsid w:val="6ABC136F"/>
    <w:rsid w:val="6AEC48B0"/>
    <w:rsid w:val="6B3D24B0"/>
    <w:rsid w:val="6B796A22"/>
    <w:rsid w:val="6B981494"/>
    <w:rsid w:val="6BAF4A30"/>
    <w:rsid w:val="6BB87D88"/>
    <w:rsid w:val="6BC24763"/>
    <w:rsid w:val="6BC26511"/>
    <w:rsid w:val="6C7F2654"/>
    <w:rsid w:val="6C8E0AE9"/>
    <w:rsid w:val="6D062D75"/>
    <w:rsid w:val="6D192AA9"/>
    <w:rsid w:val="6D1C2C81"/>
    <w:rsid w:val="6D9914F3"/>
    <w:rsid w:val="6DC5053A"/>
    <w:rsid w:val="6E1312A6"/>
    <w:rsid w:val="6E250FD9"/>
    <w:rsid w:val="6F0641DA"/>
    <w:rsid w:val="6F392F8E"/>
    <w:rsid w:val="6F7915DC"/>
    <w:rsid w:val="6F8306AD"/>
    <w:rsid w:val="6FA7614A"/>
    <w:rsid w:val="702C2AF3"/>
    <w:rsid w:val="702F7EED"/>
    <w:rsid w:val="707D334E"/>
    <w:rsid w:val="70D32F6E"/>
    <w:rsid w:val="70F5678A"/>
    <w:rsid w:val="712E4649"/>
    <w:rsid w:val="71687B5B"/>
    <w:rsid w:val="717402AD"/>
    <w:rsid w:val="718F3339"/>
    <w:rsid w:val="71D61BE2"/>
    <w:rsid w:val="71DE1F25"/>
    <w:rsid w:val="72031631"/>
    <w:rsid w:val="7278201F"/>
    <w:rsid w:val="72800ED4"/>
    <w:rsid w:val="72C139C6"/>
    <w:rsid w:val="72E17BC5"/>
    <w:rsid w:val="731F693F"/>
    <w:rsid w:val="7327134F"/>
    <w:rsid w:val="734463A5"/>
    <w:rsid w:val="735B43D2"/>
    <w:rsid w:val="738E7178"/>
    <w:rsid w:val="73A40BF2"/>
    <w:rsid w:val="740B2A1F"/>
    <w:rsid w:val="74100036"/>
    <w:rsid w:val="742835D1"/>
    <w:rsid w:val="7476433D"/>
    <w:rsid w:val="748C590E"/>
    <w:rsid w:val="74F14041"/>
    <w:rsid w:val="750000AA"/>
    <w:rsid w:val="75226272"/>
    <w:rsid w:val="75355FA6"/>
    <w:rsid w:val="753F6E24"/>
    <w:rsid w:val="758F1B5A"/>
    <w:rsid w:val="75BA46FD"/>
    <w:rsid w:val="75BF3AC1"/>
    <w:rsid w:val="75E023B5"/>
    <w:rsid w:val="75E55C1E"/>
    <w:rsid w:val="76053BCA"/>
    <w:rsid w:val="760836BA"/>
    <w:rsid w:val="764364A0"/>
    <w:rsid w:val="76801238"/>
    <w:rsid w:val="76962A74"/>
    <w:rsid w:val="76A01B45"/>
    <w:rsid w:val="76AA651F"/>
    <w:rsid w:val="76AF1D88"/>
    <w:rsid w:val="771B11CB"/>
    <w:rsid w:val="7791148D"/>
    <w:rsid w:val="77BC475C"/>
    <w:rsid w:val="77D9530E"/>
    <w:rsid w:val="77ED2B68"/>
    <w:rsid w:val="78153E6C"/>
    <w:rsid w:val="78340796"/>
    <w:rsid w:val="786C6182"/>
    <w:rsid w:val="78A054C2"/>
    <w:rsid w:val="78A376CA"/>
    <w:rsid w:val="78A53442"/>
    <w:rsid w:val="78A551F0"/>
    <w:rsid w:val="78E421BD"/>
    <w:rsid w:val="79260EC0"/>
    <w:rsid w:val="796450AB"/>
    <w:rsid w:val="7985373C"/>
    <w:rsid w:val="79BA4CCB"/>
    <w:rsid w:val="79F47D0C"/>
    <w:rsid w:val="79F510D6"/>
    <w:rsid w:val="79FE72AE"/>
    <w:rsid w:val="7B0B1DCF"/>
    <w:rsid w:val="7B31720F"/>
    <w:rsid w:val="7B450F0D"/>
    <w:rsid w:val="7B4707E1"/>
    <w:rsid w:val="7B8C08E9"/>
    <w:rsid w:val="7BA72A30"/>
    <w:rsid w:val="7BB8348D"/>
    <w:rsid w:val="7C18217D"/>
    <w:rsid w:val="7C1C1C6D"/>
    <w:rsid w:val="7C4B4301"/>
    <w:rsid w:val="7C581C80"/>
    <w:rsid w:val="7C9F63FA"/>
    <w:rsid w:val="7CA12173"/>
    <w:rsid w:val="7D1D0ACD"/>
    <w:rsid w:val="7D5471E5"/>
    <w:rsid w:val="7DFF1847"/>
    <w:rsid w:val="7E4D4360"/>
    <w:rsid w:val="7E7612F4"/>
    <w:rsid w:val="7E857F9E"/>
    <w:rsid w:val="7E971A7F"/>
    <w:rsid w:val="7ED405DD"/>
    <w:rsid w:val="7F692316"/>
    <w:rsid w:val="7F983D01"/>
    <w:rsid w:val="7FC0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qFormat/>
    <w:uiPriority w:val="0"/>
    <w:pPr>
      <w:ind w:firstLine="420" w:firstLineChars="200"/>
      <w:jc w:val="left"/>
    </w:pPr>
    <w:rPr>
      <w:rFonts w:ascii="宋体" w:hAnsi="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WPSOffice手动目录 1"/>
    <w:qFormat/>
    <w:uiPriority w:val="0"/>
    <w:pPr>
      <w:ind w:leftChars="0"/>
    </w:pPr>
    <w:rPr>
      <w:rFonts w:ascii="Times New Roman" w:hAnsi="Times New Roman" w:eastAsia="宋体" w:cs="Times New Roman"/>
      <w:sz w:val="20"/>
      <w:szCs w:val="20"/>
    </w:rPr>
  </w:style>
  <w:style w:type="paragraph" w:customStyle="1" w:styleId="1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6" Type="http://schemas.openxmlformats.org/officeDocument/2006/relationships/fontTable" Target="fontTable.xml"/><Relationship Id="rId55" Type="http://schemas.openxmlformats.org/officeDocument/2006/relationships/customXml" Target="../customXml/item1.xml"/><Relationship Id="rId54" Type="http://schemas.openxmlformats.org/officeDocument/2006/relationships/chart" Target="charts/chart49.xml"/><Relationship Id="rId53" Type="http://schemas.openxmlformats.org/officeDocument/2006/relationships/chart" Target="charts/chart48.xml"/><Relationship Id="rId52" Type="http://schemas.openxmlformats.org/officeDocument/2006/relationships/chart" Target="charts/chart47.xml"/><Relationship Id="rId51" Type="http://schemas.openxmlformats.org/officeDocument/2006/relationships/chart" Target="charts/chart46.xml"/><Relationship Id="rId50" Type="http://schemas.openxmlformats.org/officeDocument/2006/relationships/chart" Target="charts/chart45.xml"/><Relationship Id="rId5" Type="http://schemas.openxmlformats.org/officeDocument/2006/relationships/theme" Target="theme/theme1.xml"/><Relationship Id="rId49" Type="http://schemas.openxmlformats.org/officeDocument/2006/relationships/chart" Target="charts/chart44.xml"/><Relationship Id="rId48" Type="http://schemas.openxmlformats.org/officeDocument/2006/relationships/chart" Target="charts/chart43.xml"/><Relationship Id="rId47" Type="http://schemas.openxmlformats.org/officeDocument/2006/relationships/chart" Target="charts/chart42.xml"/><Relationship Id="rId46" Type="http://schemas.openxmlformats.org/officeDocument/2006/relationships/chart" Target="charts/chart41.xml"/><Relationship Id="rId45" Type="http://schemas.openxmlformats.org/officeDocument/2006/relationships/chart" Target="charts/chart40.xml"/><Relationship Id="rId44" Type="http://schemas.openxmlformats.org/officeDocument/2006/relationships/chart" Target="charts/chart39.xml"/><Relationship Id="rId43" Type="http://schemas.openxmlformats.org/officeDocument/2006/relationships/chart" Target="charts/chart38.xml"/><Relationship Id="rId42" Type="http://schemas.openxmlformats.org/officeDocument/2006/relationships/chart" Target="charts/chart37.xml"/><Relationship Id="rId41" Type="http://schemas.openxmlformats.org/officeDocument/2006/relationships/chart" Target="charts/chart36.xml"/><Relationship Id="rId40" Type="http://schemas.openxmlformats.org/officeDocument/2006/relationships/chart" Target="charts/chart35.xml"/><Relationship Id="rId4" Type="http://schemas.openxmlformats.org/officeDocument/2006/relationships/footer" Target="footer2.xml"/><Relationship Id="rId39" Type="http://schemas.openxmlformats.org/officeDocument/2006/relationships/chart" Target="charts/chart34.xml"/><Relationship Id="rId38" Type="http://schemas.openxmlformats.org/officeDocument/2006/relationships/chart" Target="charts/chart33.xml"/><Relationship Id="rId37" Type="http://schemas.openxmlformats.org/officeDocument/2006/relationships/chart" Target="charts/chart32.xml"/><Relationship Id="rId36" Type="http://schemas.openxmlformats.org/officeDocument/2006/relationships/chart" Target="charts/chart31.xml"/><Relationship Id="rId35" Type="http://schemas.openxmlformats.org/officeDocument/2006/relationships/chart" Target="charts/chart30.xml"/><Relationship Id="rId34" Type="http://schemas.openxmlformats.org/officeDocument/2006/relationships/chart" Target="charts/chart29.xml"/><Relationship Id="rId33" Type="http://schemas.openxmlformats.org/officeDocument/2006/relationships/chart" Target="charts/chart28.xml"/><Relationship Id="rId32" Type="http://schemas.openxmlformats.org/officeDocument/2006/relationships/chart" Target="charts/chart27.xml"/><Relationship Id="rId31" Type="http://schemas.openxmlformats.org/officeDocument/2006/relationships/chart" Target="charts/chart26.xml"/><Relationship Id="rId30" Type="http://schemas.openxmlformats.org/officeDocument/2006/relationships/chart" Target="charts/chart25.xml"/><Relationship Id="rId3" Type="http://schemas.openxmlformats.org/officeDocument/2006/relationships/footer" Target="footer1.xml"/><Relationship Id="rId29" Type="http://schemas.openxmlformats.org/officeDocument/2006/relationships/chart" Target="charts/chart24.xml"/><Relationship Id="rId28" Type="http://schemas.openxmlformats.org/officeDocument/2006/relationships/chart" Target="charts/chart23.xml"/><Relationship Id="rId27" Type="http://schemas.openxmlformats.org/officeDocument/2006/relationships/chart" Target="charts/chart22.xml"/><Relationship Id="rId26" Type="http://schemas.openxmlformats.org/officeDocument/2006/relationships/chart" Target="charts/chart21.xml"/><Relationship Id="rId25" Type="http://schemas.openxmlformats.org/officeDocument/2006/relationships/chart" Target="charts/chart20.xml"/><Relationship Id="rId24" Type="http://schemas.openxmlformats.org/officeDocument/2006/relationships/chart" Target="charts/chart19.xml"/><Relationship Id="rId23" Type="http://schemas.openxmlformats.org/officeDocument/2006/relationships/chart" Target="charts/chart18.xml"/><Relationship Id="rId22" Type="http://schemas.openxmlformats.org/officeDocument/2006/relationships/chart" Target="charts/chart17.xml"/><Relationship Id="rId21" Type="http://schemas.openxmlformats.org/officeDocument/2006/relationships/chart" Target="charts/chart16.xml"/><Relationship Id="rId20" Type="http://schemas.openxmlformats.org/officeDocument/2006/relationships/chart" Target="charts/chart15.xml"/><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6135\Desktop\2022&#24180;0829\&#20844;&#25253;&#31034;&#20363;.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C:\Users\86135\Desktop\2022&#24180;0829\&#20844;&#25253;&#31034;&#20363;.xlsx" TargetMode="External"/></Relationships>
</file>

<file path=word/charts/_rels/chart11.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C:\Users\86135\Desktop\2022&#24180;0829\&#20844;&#25253;&#31034;&#20363;--li.xlsx" TargetMode="External"/></Relationships>
</file>

<file path=word/charts/_rels/chart12.xml.rels><?xml version="1.0" encoding="UTF-8" standalone="yes"?>
<Relationships xmlns="http://schemas.openxmlformats.org/package/2006/relationships"><Relationship Id="rId3" Type="http://schemas.microsoft.com/office/2011/relationships/chartColorStyle" Target="colors12.xml"/><Relationship Id="rId2" Type="http://schemas.microsoft.com/office/2011/relationships/chartStyle" Target="style12.xml"/><Relationship Id="rId1" Type="http://schemas.openxmlformats.org/officeDocument/2006/relationships/oleObject" Target="file:///C:\Users\86135\Desktop\2022&#24180;0829\&#20844;&#25253;&#31034;&#20363;--li.xlsx" TargetMode="External"/></Relationships>
</file>

<file path=word/charts/_rels/chart13.xml.rels><?xml version="1.0" encoding="UTF-8" standalone="yes"?>
<Relationships xmlns="http://schemas.openxmlformats.org/package/2006/relationships"><Relationship Id="rId3" Type="http://schemas.microsoft.com/office/2011/relationships/chartColorStyle" Target="colors13.xml"/><Relationship Id="rId2" Type="http://schemas.microsoft.com/office/2011/relationships/chartStyle" Target="style13.xml"/><Relationship Id="rId1" Type="http://schemas.openxmlformats.org/officeDocument/2006/relationships/oleObject" Target="file:///C:\Users\86130\Documents\WeChat%20Files\wxid_8ys9cfidzo5t21\FileStorage\File\2022-08\&#20844;&#25253;&#25968;&#25454;-&#21069;&#19977;&#37096;&#20998;.xlsx" TargetMode="External"/></Relationships>
</file>

<file path=word/charts/_rels/chart14.xml.rels><?xml version="1.0" encoding="UTF-8" standalone="yes"?>
<Relationships xmlns="http://schemas.openxmlformats.org/package/2006/relationships"><Relationship Id="rId3" Type="http://schemas.microsoft.com/office/2011/relationships/chartColorStyle" Target="colors14.xml"/><Relationship Id="rId2" Type="http://schemas.microsoft.com/office/2011/relationships/chartStyle" Target="style14.xml"/><Relationship Id="rId1" Type="http://schemas.openxmlformats.org/officeDocument/2006/relationships/oleObject" Target="file:///C:\Users\86135\Desktop\2022&#24180;0829\&#20844;&#25253;&#31034;&#20363;--li.xlsx" TargetMode="External"/></Relationships>
</file>

<file path=word/charts/_rels/chart15.xml.rels><?xml version="1.0" encoding="UTF-8" standalone="yes"?>
<Relationships xmlns="http://schemas.openxmlformats.org/package/2006/relationships"><Relationship Id="rId3" Type="http://schemas.microsoft.com/office/2011/relationships/chartColorStyle" Target="colors15.xml"/><Relationship Id="rId2" Type="http://schemas.microsoft.com/office/2011/relationships/chartStyle" Target="style15.xml"/><Relationship Id="rId1" Type="http://schemas.openxmlformats.org/officeDocument/2006/relationships/oleObject" Target="file:///C:\Users\86135\Desktop\2022&#24180;0829\&#20844;&#25253;&#31034;&#20363;--li.xlsx" TargetMode="External"/></Relationships>
</file>

<file path=word/charts/_rels/chart16.xml.rels><?xml version="1.0" encoding="UTF-8" standalone="yes"?>
<Relationships xmlns="http://schemas.openxmlformats.org/package/2006/relationships"><Relationship Id="rId3" Type="http://schemas.microsoft.com/office/2011/relationships/chartColorStyle" Target="colors16.xml"/><Relationship Id="rId2" Type="http://schemas.microsoft.com/office/2011/relationships/chartStyle" Target="style16.xml"/><Relationship Id="rId1" Type="http://schemas.openxmlformats.org/officeDocument/2006/relationships/oleObject" Target="file:///C:\Users\86135\Desktop\2022&#24180;0829\&#20844;&#25253;&#31034;&#20363;--li.xlsx" TargetMode="External"/></Relationships>
</file>

<file path=word/charts/_rels/chart17.xml.rels><?xml version="1.0" encoding="UTF-8" standalone="yes"?>
<Relationships xmlns="http://schemas.openxmlformats.org/package/2006/relationships"><Relationship Id="rId3" Type="http://schemas.microsoft.com/office/2011/relationships/chartColorStyle" Target="colors17.xml"/><Relationship Id="rId2" Type="http://schemas.microsoft.com/office/2011/relationships/chartStyle" Target="style17.xml"/><Relationship Id="rId1" Type="http://schemas.openxmlformats.org/officeDocument/2006/relationships/oleObject" Target="file:///C:\Users\86135\Desktop\2022&#24180;0829\&#20844;&#25253;&#31034;&#20363;--li.xlsx" TargetMode="External"/></Relationships>
</file>

<file path=word/charts/_rels/chart18.xml.rels><?xml version="1.0" encoding="UTF-8" standalone="yes"?>
<Relationships xmlns="http://schemas.openxmlformats.org/package/2006/relationships"><Relationship Id="rId3" Type="http://schemas.microsoft.com/office/2011/relationships/chartColorStyle" Target="colors18.xml"/><Relationship Id="rId2" Type="http://schemas.microsoft.com/office/2011/relationships/chartStyle" Target="style18.xml"/><Relationship Id="rId1" Type="http://schemas.openxmlformats.org/officeDocument/2006/relationships/oleObject" Target="file:///C:\Users\86135\Desktop\2022&#24180;0829\&#20844;&#25253;&#31034;&#20363;--li.xlsx" TargetMode="External"/></Relationships>
</file>

<file path=word/charts/_rels/chart19.xml.rels><?xml version="1.0" encoding="UTF-8" standalone="yes"?>
<Relationships xmlns="http://schemas.openxmlformats.org/package/2006/relationships"><Relationship Id="rId3" Type="http://schemas.microsoft.com/office/2011/relationships/chartColorStyle" Target="colors19.xml"/><Relationship Id="rId2" Type="http://schemas.microsoft.com/office/2011/relationships/chartStyle" Target="style19.xml"/><Relationship Id="rId1" Type="http://schemas.openxmlformats.org/officeDocument/2006/relationships/oleObject" Target="file:///C:\Users\86135\Desktop\2022&#24180;0829\&#20844;&#25253;&#31034;&#20363;--li.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86135\Desktop\2022&#24180;0829\&#20844;&#25253;&#31034;&#20363;.xlsx" TargetMode="External"/></Relationships>
</file>

<file path=word/charts/_rels/chart20.xml.rels><?xml version="1.0" encoding="UTF-8" standalone="yes"?>
<Relationships xmlns="http://schemas.openxmlformats.org/package/2006/relationships"><Relationship Id="rId3" Type="http://schemas.microsoft.com/office/2011/relationships/chartColorStyle" Target="colors20.xml"/><Relationship Id="rId2" Type="http://schemas.microsoft.com/office/2011/relationships/chartStyle" Target="style20.xml"/><Relationship Id="rId1" Type="http://schemas.openxmlformats.org/officeDocument/2006/relationships/oleObject" Target="file:///C:\Users\86135\Desktop\2022&#24180;0829\&#20844;&#25253;&#31034;&#20363;--li.xlsx" TargetMode="External"/></Relationships>
</file>

<file path=word/charts/_rels/chart21.xml.rels><?xml version="1.0" encoding="UTF-8" standalone="yes"?>
<Relationships xmlns="http://schemas.openxmlformats.org/package/2006/relationships"><Relationship Id="rId3" Type="http://schemas.microsoft.com/office/2011/relationships/chartColorStyle" Target="colors21.xml"/><Relationship Id="rId2" Type="http://schemas.microsoft.com/office/2011/relationships/chartStyle" Target="style21.xml"/><Relationship Id="rId1" Type="http://schemas.openxmlformats.org/officeDocument/2006/relationships/oleObject" Target="file:///C:\Users\86135\Desktop\2022&#24180;0829\&#20844;&#25253;&#31034;&#20363;--li.xlsx" TargetMode="External"/></Relationships>
</file>

<file path=word/charts/_rels/chart22.xml.rels><?xml version="1.0" encoding="UTF-8" standalone="yes"?>
<Relationships xmlns="http://schemas.openxmlformats.org/package/2006/relationships"><Relationship Id="rId3" Type="http://schemas.microsoft.com/office/2011/relationships/chartColorStyle" Target="colors22.xml"/><Relationship Id="rId2" Type="http://schemas.microsoft.com/office/2011/relationships/chartStyle" Target="style22.xml"/><Relationship Id="rId1" Type="http://schemas.openxmlformats.org/officeDocument/2006/relationships/oleObject" Target="file:///C:\Users\86135\Desktop\2022&#24180;0829\&#20844;&#25253;&#31034;&#20363;--li.xlsx" TargetMode="External"/></Relationships>
</file>

<file path=word/charts/_rels/chart23.xml.rels><?xml version="1.0" encoding="UTF-8" standalone="yes"?>
<Relationships xmlns="http://schemas.openxmlformats.org/package/2006/relationships"><Relationship Id="rId3" Type="http://schemas.microsoft.com/office/2011/relationships/chartColorStyle" Target="colors23.xml"/><Relationship Id="rId2" Type="http://schemas.microsoft.com/office/2011/relationships/chartStyle" Target="style23.xml"/><Relationship Id="rId1" Type="http://schemas.openxmlformats.org/officeDocument/2006/relationships/oleObject" Target="file:///C:\Users\86135\Desktop\2022&#24180;0829\&#20844;&#25253;&#31034;&#20363;--li.xlsx" TargetMode="External"/></Relationships>
</file>

<file path=word/charts/_rels/chart24.xml.rels><?xml version="1.0" encoding="UTF-8" standalone="yes"?>
<Relationships xmlns="http://schemas.openxmlformats.org/package/2006/relationships"><Relationship Id="rId3" Type="http://schemas.microsoft.com/office/2011/relationships/chartColorStyle" Target="colors24.xml"/><Relationship Id="rId2" Type="http://schemas.microsoft.com/office/2011/relationships/chartStyle" Target="style24.xml"/><Relationship Id="rId1" Type="http://schemas.openxmlformats.org/officeDocument/2006/relationships/oleObject" Target="file:///C:\Users\86135\Desktop\2022&#24180;0829\&#20844;&#25253;&#31034;&#20363;--li.xlsx" TargetMode="External"/></Relationships>
</file>

<file path=word/charts/_rels/chart25.xml.rels><?xml version="1.0" encoding="UTF-8" standalone="yes"?>
<Relationships xmlns="http://schemas.openxmlformats.org/package/2006/relationships"><Relationship Id="rId3" Type="http://schemas.microsoft.com/office/2011/relationships/chartColorStyle" Target="colors25.xml"/><Relationship Id="rId2" Type="http://schemas.microsoft.com/office/2011/relationships/chartStyle" Target="style25.xml"/><Relationship Id="rId1" Type="http://schemas.openxmlformats.org/officeDocument/2006/relationships/oleObject" Target="file:///C:\Users\86135\Desktop\2022&#24180;0829\&#20844;&#25253;&#31034;&#20363;--li.xlsx" TargetMode="External"/></Relationships>
</file>

<file path=word/charts/_rels/chart26.xml.rels><?xml version="1.0" encoding="UTF-8" standalone="yes"?>
<Relationships xmlns="http://schemas.openxmlformats.org/package/2006/relationships"><Relationship Id="rId3" Type="http://schemas.microsoft.com/office/2011/relationships/chartColorStyle" Target="colors26.xml"/><Relationship Id="rId2" Type="http://schemas.microsoft.com/office/2011/relationships/chartStyle" Target="style26.xml"/><Relationship Id="rId1" Type="http://schemas.openxmlformats.org/officeDocument/2006/relationships/oleObject" Target="file:///C:\Users\86135\Desktop\2022&#24180;0829\&#20844;&#25253;&#31034;&#20363;--li.xlsx" TargetMode="External"/></Relationships>
</file>

<file path=word/charts/_rels/chart27.xml.rels><?xml version="1.0" encoding="UTF-8" standalone="yes"?>
<Relationships xmlns="http://schemas.openxmlformats.org/package/2006/relationships"><Relationship Id="rId3" Type="http://schemas.microsoft.com/office/2011/relationships/chartColorStyle" Target="colors27.xml"/><Relationship Id="rId2" Type="http://schemas.microsoft.com/office/2011/relationships/chartStyle" Target="style27.xml"/><Relationship Id="rId1" Type="http://schemas.openxmlformats.org/officeDocument/2006/relationships/oleObject" Target="file:///C:\Users\86135\Desktop\2022&#24180;0829\&#20844;&#25253;&#31034;&#20363;--li.xlsx" TargetMode="External"/></Relationships>
</file>

<file path=word/charts/_rels/chart28.xml.rels><?xml version="1.0" encoding="UTF-8" standalone="yes"?>
<Relationships xmlns="http://schemas.openxmlformats.org/package/2006/relationships"><Relationship Id="rId3" Type="http://schemas.microsoft.com/office/2011/relationships/chartColorStyle" Target="colors28.xml"/><Relationship Id="rId2" Type="http://schemas.microsoft.com/office/2011/relationships/chartStyle" Target="style28.xml"/><Relationship Id="rId1" Type="http://schemas.openxmlformats.org/officeDocument/2006/relationships/oleObject" Target="file:///C:\Users\86135\Desktop\2022&#24180;0829\&#20844;&#25253;&#31034;&#20363;--li.xlsx" TargetMode="External"/></Relationships>
</file>

<file path=word/charts/_rels/chart29.xml.rels><?xml version="1.0" encoding="UTF-8" standalone="yes"?>
<Relationships xmlns="http://schemas.openxmlformats.org/package/2006/relationships"><Relationship Id="rId3" Type="http://schemas.microsoft.com/office/2011/relationships/chartColorStyle" Target="colors29.xml"/><Relationship Id="rId2" Type="http://schemas.microsoft.com/office/2011/relationships/chartStyle" Target="style29.xml"/><Relationship Id="rId1" Type="http://schemas.openxmlformats.org/officeDocument/2006/relationships/oleObject" Target="file:///C:\Users\86130\Desktop\&#20844;&#25253;&#31034;&#20363;.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86135\Desktop\2022&#24180;0829\&#20844;&#25253;&#31034;&#20363;.xlsx" TargetMode="External"/></Relationships>
</file>

<file path=word/charts/_rels/chart30.xml.rels><?xml version="1.0" encoding="UTF-8" standalone="yes"?>
<Relationships xmlns="http://schemas.openxmlformats.org/package/2006/relationships"><Relationship Id="rId3" Type="http://schemas.microsoft.com/office/2011/relationships/chartColorStyle" Target="colors30.xml"/><Relationship Id="rId2" Type="http://schemas.microsoft.com/office/2011/relationships/chartStyle" Target="style30.xml"/><Relationship Id="rId1" Type="http://schemas.openxmlformats.org/officeDocument/2006/relationships/oleObject" Target="file:///C:\Users\86130\Desktop\&#20844;&#25253;&#31034;&#20363;.xlsx" TargetMode="External"/></Relationships>
</file>

<file path=word/charts/_rels/chart31.xml.rels><?xml version="1.0" encoding="UTF-8" standalone="yes"?>
<Relationships xmlns="http://schemas.openxmlformats.org/package/2006/relationships"><Relationship Id="rId3" Type="http://schemas.microsoft.com/office/2011/relationships/chartColorStyle" Target="colors31.xml"/><Relationship Id="rId2" Type="http://schemas.microsoft.com/office/2011/relationships/chartStyle" Target="style31.xml"/><Relationship Id="rId1" Type="http://schemas.openxmlformats.org/officeDocument/2006/relationships/oleObject" Target="file:///C:\Users\86130\Desktop\&#20844;&#25253;&#31034;&#20363;.xlsx" TargetMode="External"/></Relationships>
</file>

<file path=word/charts/_rels/chart32.xml.rels><?xml version="1.0" encoding="UTF-8" standalone="yes"?>
<Relationships xmlns="http://schemas.openxmlformats.org/package/2006/relationships"><Relationship Id="rId3" Type="http://schemas.microsoft.com/office/2011/relationships/chartColorStyle" Target="colors32.xml"/><Relationship Id="rId2" Type="http://schemas.microsoft.com/office/2011/relationships/chartStyle" Target="style32.xml"/><Relationship Id="rId1" Type="http://schemas.openxmlformats.org/officeDocument/2006/relationships/oleObject" Target="file:///C:\Users\86130\Desktop\&#20844;&#25253;&#31034;&#20363;.xlsx" TargetMode="External"/></Relationships>
</file>

<file path=word/charts/_rels/chart33.xml.rels><?xml version="1.0" encoding="UTF-8" standalone="yes"?>
<Relationships xmlns="http://schemas.openxmlformats.org/package/2006/relationships"><Relationship Id="rId3" Type="http://schemas.microsoft.com/office/2011/relationships/chartColorStyle" Target="colors33.xml"/><Relationship Id="rId2" Type="http://schemas.microsoft.com/office/2011/relationships/chartStyle" Target="style33.xml"/><Relationship Id="rId1" Type="http://schemas.openxmlformats.org/officeDocument/2006/relationships/oleObject" Target="file:///C:\Users\86130\Desktop\&#20844;&#25253;&#31034;&#20363;.xlsx" TargetMode="External"/></Relationships>
</file>

<file path=word/charts/_rels/chart34.xml.rels><?xml version="1.0" encoding="UTF-8" standalone="yes"?>
<Relationships xmlns="http://schemas.openxmlformats.org/package/2006/relationships"><Relationship Id="rId3" Type="http://schemas.microsoft.com/office/2011/relationships/chartColorStyle" Target="colors34.xml"/><Relationship Id="rId2" Type="http://schemas.microsoft.com/office/2011/relationships/chartStyle" Target="style34.xml"/><Relationship Id="rId1" Type="http://schemas.openxmlformats.org/officeDocument/2006/relationships/oleObject" Target="file:///C:\Users\86130\Desktop\&#20844;&#25253;&#31034;&#20363;.xlsx" TargetMode="External"/></Relationships>
</file>

<file path=word/charts/_rels/chart35.xml.rels><?xml version="1.0" encoding="UTF-8" standalone="yes"?>
<Relationships xmlns="http://schemas.openxmlformats.org/package/2006/relationships"><Relationship Id="rId3" Type="http://schemas.microsoft.com/office/2011/relationships/chartColorStyle" Target="colors35.xml"/><Relationship Id="rId2" Type="http://schemas.microsoft.com/office/2011/relationships/chartStyle" Target="style35.xml"/><Relationship Id="rId1" Type="http://schemas.openxmlformats.org/officeDocument/2006/relationships/oleObject" Target="file:///C:\Users\86130\Desktop\&#20844;&#25253;&#31034;&#20363;.xlsx" TargetMode="External"/></Relationships>
</file>

<file path=word/charts/_rels/chart36.xml.rels><?xml version="1.0" encoding="UTF-8" standalone="yes"?>
<Relationships xmlns="http://schemas.openxmlformats.org/package/2006/relationships"><Relationship Id="rId3" Type="http://schemas.microsoft.com/office/2011/relationships/chartColorStyle" Target="colors36.xml"/><Relationship Id="rId2" Type="http://schemas.microsoft.com/office/2011/relationships/chartStyle" Target="style36.xml"/><Relationship Id="rId1" Type="http://schemas.openxmlformats.org/officeDocument/2006/relationships/oleObject" Target="file:///C:\Users\86130\Desktop\&#20844;&#25253;&#31034;&#20363;.xlsx" TargetMode="External"/></Relationships>
</file>

<file path=word/charts/_rels/chart37.xml.rels><?xml version="1.0" encoding="UTF-8" standalone="yes"?>
<Relationships xmlns="http://schemas.openxmlformats.org/package/2006/relationships"><Relationship Id="rId3" Type="http://schemas.microsoft.com/office/2011/relationships/chartColorStyle" Target="colors37.xml"/><Relationship Id="rId2" Type="http://schemas.microsoft.com/office/2011/relationships/chartStyle" Target="style37.xml"/><Relationship Id="rId1" Type="http://schemas.openxmlformats.org/officeDocument/2006/relationships/oleObject" Target="file:///C:\Users\86130\Desktop\&#20844;&#25253;&#31034;&#20363;.xlsx" TargetMode="External"/></Relationships>
</file>

<file path=word/charts/_rels/chart38.xml.rels><?xml version="1.0" encoding="UTF-8" standalone="yes"?>
<Relationships xmlns="http://schemas.openxmlformats.org/package/2006/relationships"><Relationship Id="rId3" Type="http://schemas.microsoft.com/office/2011/relationships/chartColorStyle" Target="colors38.xml"/><Relationship Id="rId2" Type="http://schemas.microsoft.com/office/2011/relationships/chartStyle" Target="style38.xml"/><Relationship Id="rId1" Type="http://schemas.openxmlformats.org/officeDocument/2006/relationships/oleObject" Target="file:///C:\Users\86130\Desktop\&#20844;&#25253;&#31034;&#20363;.xlsx" TargetMode="External"/></Relationships>
</file>

<file path=word/charts/_rels/chart39.xml.rels><?xml version="1.0" encoding="UTF-8" standalone="yes"?>
<Relationships xmlns="http://schemas.openxmlformats.org/package/2006/relationships"><Relationship Id="rId3" Type="http://schemas.microsoft.com/office/2011/relationships/chartColorStyle" Target="colors39.xml"/><Relationship Id="rId2" Type="http://schemas.microsoft.com/office/2011/relationships/chartStyle" Target="style39.xml"/><Relationship Id="rId1" Type="http://schemas.openxmlformats.org/officeDocument/2006/relationships/oleObject" Target="file:///C:\Users\86130\Desktop\&#20844;&#25253;&#31034;&#20363;.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86135\Desktop\2022&#24180;0829\&#20844;&#25253;&#31034;&#20363;.xlsx" TargetMode="External"/></Relationships>
</file>

<file path=word/charts/_rels/chart40.xml.rels><?xml version="1.0" encoding="UTF-8" standalone="yes"?>
<Relationships xmlns="http://schemas.openxmlformats.org/package/2006/relationships"><Relationship Id="rId3" Type="http://schemas.microsoft.com/office/2011/relationships/chartColorStyle" Target="colors40.xml"/><Relationship Id="rId2" Type="http://schemas.microsoft.com/office/2011/relationships/chartStyle" Target="style40.xml"/><Relationship Id="rId1" Type="http://schemas.openxmlformats.org/officeDocument/2006/relationships/oleObject" Target="file:///C:\Users\86130\Desktop\&#20844;&#25253;&#31034;&#20363;.xlsx" TargetMode="External"/></Relationships>
</file>

<file path=word/charts/_rels/chart41.xml.rels><?xml version="1.0" encoding="UTF-8" standalone="yes"?>
<Relationships xmlns="http://schemas.openxmlformats.org/package/2006/relationships"><Relationship Id="rId3" Type="http://schemas.microsoft.com/office/2011/relationships/chartColorStyle" Target="colors41.xml"/><Relationship Id="rId2" Type="http://schemas.microsoft.com/office/2011/relationships/chartStyle" Target="style41.xml"/><Relationship Id="rId1" Type="http://schemas.openxmlformats.org/officeDocument/2006/relationships/oleObject" Target="file:///C:\Users\86130\Desktop\&#20844;&#25253;&#31034;&#20363;.xlsx" TargetMode="External"/></Relationships>
</file>

<file path=word/charts/_rels/chart42.xml.rels><?xml version="1.0" encoding="UTF-8" standalone="yes"?>
<Relationships xmlns="http://schemas.openxmlformats.org/package/2006/relationships"><Relationship Id="rId3" Type="http://schemas.microsoft.com/office/2011/relationships/chartColorStyle" Target="colors42.xml"/><Relationship Id="rId2" Type="http://schemas.microsoft.com/office/2011/relationships/chartStyle" Target="style42.xml"/><Relationship Id="rId1" Type="http://schemas.openxmlformats.org/officeDocument/2006/relationships/oleObject" Target="file:///C:\Users\86130\Desktop\&#20844;&#25253;&#31034;&#20363;.xlsx" TargetMode="External"/></Relationships>
</file>

<file path=word/charts/_rels/chart43.xml.rels><?xml version="1.0" encoding="UTF-8" standalone="yes"?>
<Relationships xmlns="http://schemas.openxmlformats.org/package/2006/relationships"><Relationship Id="rId3" Type="http://schemas.microsoft.com/office/2011/relationships/chartColorStyle" Target="colors43.xml"/><Relationship Id="rId2" Type="http://schemas.microsoft.com/office/2011/relationships/chartStyle" Target="style43.xml"/><Relationship Id="rId1" Type="http://schemas.openxmlformats.org/officeDocument/2006/relationships/oleObject" Target="file:///C:\Users\86130\Desktop\&#20844;&#25253;&#31034;&#20363;.xlsx" TargetMode="External"/></Relationships>
</file>

<file path=word/charts/_rels/chart44.xml.rels><?xml version="1.0" encoding="UTF-8" standalone="yes"?>
<Relationships xmlns="http://schemas.openxmlformats.org/package/2006/relationships"><Relationship Id="rId3" Type="http://schemas.microsoft.com/office/2011/relationships/chartColorStyle" Target="colors44.xml"/><Relationship Id="rId2" Type="http://schemas.microsoft.com/office/2011/relationships/chartStyle" Target="style44.xml"/><Relationship Id="rId1" Type="http://schemas.openxmlformats.org/officeDocument/2006/relationships/oleObject" Target="file:///C:\Users\86130\Desktop\&#20844;&#25253;&#31034;&#20363;.xlsx" TargetMode="External"/></Relationships>
</file>

<file path=word/charts/_rels/chart45.xml.rels><?xml version="1.0" encoding="UTF-8" standalone="yes"?>
<Relationships xmlns="http://schemas.openxmlformats.org/package/2006/relationships"><Relationship Id="rId3" Type="http://schemas.microsoft.com/office/2011/relationships/chartColorStyle" Target="colors45.xml"/><Relationship Id="rId2" Type="http://schemas.microsoft.com/office/2011/relationships/chartStyle" Target="style45.xml"/><Relationship Id="rId1" Type="http://schemas.openxmlformats.org/officeDocument/2006/relationships/oleObject" Target="file:///C:\Users\86130\Desktop\&#20844;&#25253;&#31034;&#20363;.xlsx" TargetMode="External"/></Relationships>
</file>

<file path=word/charts/_rels/chart46.xml.rels><?xml version="1.0" encoding="UTF-8" standalone="yes"?>
<Relationships xmlns="http://schemas.openxmlformats.org/package/2006/relationships"><Relationship Id="rId3" Type="http://schemas.microsoft.com/office/2011/relationships/chartColorStyle" Target="colors46.xml"/><Relationship Id="rId2" Type="http://schemas.microsoft.com/office/2011/relationships/chartStyle" Target="style46.xml"/><Relationship Id="rId1" Type="http://schemas.openxmlformats.org/officeDocument/2006/relationships/oleObject" Target="file:///C:\Users\86130\Desktop\&#20844;&#25253;&#31034;&#20363;.xlsx" TargetMode="External"/></Relationships>
</file>

<file path=word/charts/_rels/chart47.xml.rels><?xml version="1.0" encoding="UTF-8" standalone="yes"?>
<Relationships xmlns="http://schemas.openxmlformats.org/package/2006/relationships"><Relationship Id="rId3" Type="http://schemas.microsoft.com/office/2011/relationships/chartColorStyle" Target="colors47.xml"/><Relationship Id="rId2" Type="http://schemas.microsoft.com/office/2011/relationships/chartStyle" Target="style47.xml"/><Relationship Id="rId1" Type="http://schemas.openxmlformats.org/officeDocument/2006/relationships/oleObject" Target="file:///C:\Users\86130\Desktop\&#20844;&#25253;&#31034;&#20363;.xlsx" TargetMode="External"/></Relationships>
</file>

<file path=word/charts/_rels/chart48.xml.rels><?xml version="1.0" encoding="UTF-8" standalone="yes"?>
<Relationships xmlns="http://schemas.openxmlformats.org/package/2006/relationships"><Relationship Id="rId3" Type="http://schemas.microsoft.com/office/2011/relationships/chartColorStyle" Target="colors48.xml"/><Relationship Id="rId2" Type="http://schemas.microsoft.com/office/2011/relationships/chartStyle" Target="style48.xml"/><Relationship Id="rId1" Type="http://schemas.openxmlformats.org/officeDocument/2006/relationships/oleObject" Target="file:///C:\Users\86130\Desktop\&#20844;&#25253;&#31034;&#20363;.xlsx" TargetMode="External"/></Relationships>
</file>

<file path=word/charts/_rels/chart49.xml.rels><?xml version="1.0" encoding="UTF-8" standalone="yes"?>
<Relationships xmlns="http://schemas.openxmlformats.org/package/2006/relationships"><Relationship Id="rId3" Type="http://schemas.microsoft.com/office/2011/relationships/chartColorStyle" Target="colors49.xml"/><Relationship Id="rId2" Type="http://schemas.microsoft.com/office/2011/relationships/chartStyle" Target="style49.xml"/><Relationship Id="rId1" Type="http://schemas.openxmlformats.org/officeDocument/2006/relationships/oleObject" Target="file:///C:\Users\86130\Desktop\&#20844;&#25253;&#31034;&#20363;.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86135\Desktop\2022&#24180;0829\&#20844;&#25253;&#31034;&#20363;.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86135\Desktop\2022&#24180;0829\&#20844;&#25253;&#31034;&#20363;.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86135\Desktop\2022&#24180;0829\&#20844;&#25253;&#31034;&#20363;.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86135\Desktop\2022&#24180;0829\&#20844;&#25253;&#31034;&#20363;.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C:\Users\86135\Desktop\2022&#24180;0829\&#20844;&#25253;&#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年城市建成区面积及同比变化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4027777777778"/>
          <c:y val="0.0188356164383562"/>
        </c:manualLayout>
      </c:layout>
      <c:overlay val="0"/>
      <c:spPr>
        <a:noFill/>
        <a:ln>
          <a:noFill/>
        </a:ln>
        <a:effectLst/>
      </c:spPr>
    </c:title>
    <c:autoTitleDeleted val="0"/>
    <c:plotArea>
      <c:layout>
        <c:manualLayout>
          <c:layoutTarget val="inner"/>
          <c:xMode val="edge"/>
          <c:yMode val="edge"/>
          <c:x val="0.117722222222222"/>
          <c:y val="0.26027397260274"/>
          <c:w val="0.783305555555555"/>
          <c:h val="0.621118721461187"/>
        </c:manualLayout>
      </c:layout>
      <c:barChart>
        <c:barDir val="col"/>
        <c:grouping val="clustered"/>
        <c:varyColors val="0"/>
        <c:ser>
          <c:idx val="1"/>
          <c:order val="0"/>
          <c:tx>
            <c:strRef>
              <c:f>"城市建成区面积"</c:f>
              <c:strCache>
                <c:ptCount val="1"/>
                <c:pt idx="0">
                  <c:v>城市建成区面积</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[公报示例.xlsx]建成区面积!$A$4:$A$13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[公报示例.xlsx]建成区面积!$C$4:$C$13</c:f>
              <c:numCache>
                <c:formatCode>0.00_ </c:formatCode>
                <c:ptCount val="10"/>
                <c:pt idx="0">
                  <c:v>4.55658</c:v>
                </c:pt>
                <c:pt idx="1">
                  <c:v>4.78553</c:v>
                </c:pt>
                <c:pt idx="2">
                  <c:v>4.977263</c:v>
                </c:pt>
                <c:pt idx="3">
                  <c:v>5.210231</c:v>
                </c:pt>
                <c:pt idx="4">
                  <c:v>5.433147</c:v>
                </c:pt>
                <c:pt idx="5">
                  <c:v>5.62254</c:v>
                </c:pt>
                <c:pt idx="6">
                  <c:v>5.845566</c:v>
                </c:pt>
                <c:pt idx="7">
                  <c:v>6.031245</c:v>
                </c:pt>
                <c:pt idx="8">
                  <c:v>6.072132</c:v>
                </c:pt>
                <c:pt idx="9">
                  <c:v>6.242053</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[公报示例.xlsx]建成区面积!$A$4:$A$13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[公报示例.xlsx]建成区面积!$D$4:$D$13</c:f>
              <c:numCache>
                <c:formatCode>0.00%</c:formatCode>
                <c:ptCount val="10"/>
                <c:pt idx="0">
                  <c:v>0.0450104579480406</c:v>
                </c:pt>
                <c:pt idx="1">
                  <c:v>0.0502460178467183</c:v>
                </c:pt>
                <c:pt idx="2">
                  <c:v>0.0400651547477497</c:v>
                </c:pt>
                <c:pt idx="3">
                  <c:v>0.0468064476399981</c:v>
                </c:pt>
                <c:pt idx="4">
                  <c:v>0.0427842834607526</c:v>
                </c:pt>
                <c:pt idx="5">
                  <c:v>0.0348588028264283</c:v>
                </c:pt>
                <c:pt idx="6">
                  <c:v>0.0396664141117717</c:v>
                </c:pt>
                <c:pt idx="7">
                  <c:v>0.0317640755403323</c:v>
                </c:pt>
                <c:pt idx="8">
                  <c:v>0.00677919732990451</c:v>
                </c:pt>
                <c:pt idx="9">
                  <c:v>0.0279837460713963</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min val="4"/>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万平方公里</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1"/>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84652777777778"/>
          <c:y val="0.1550019468294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2021</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年全国分省（区、市）和新疆兵团市政设施实际到位资金</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36579042465973"/>
          <c:y val="0.0104895104895105"/>
        </c:manualLayout>
      </c:layout>
      <c:overlay val="0"/>
      <c:spPr>
        <a:noFill/>
        <a:ln>
          <a:noFill/>
        </a:ln>
        <a:effectLst/>
      </c:spPr>
    </c:title>
    <c:autoTitleDeleted val="0"/>
    <c:plotArea>
      <c:layout>
        <c:manualLayout>
          <c:layoutTarget val="inner"/>
          <c:xMode val="edge"/>
          <c:yMode val="edge"/>
          <c:x val="0.103876155046202"/>
          <c:y val="0.283916083916084"/>
          <c:w val="0.870682827313092"/>
          <c:h val="0.395944055944056"/>
        </c:manualLayout>
      </c:layout>
      <c:barChart>
        <c:barDir val="col"/>
        <c:grouping val="clustered"/>
        <c:varyColors val="0"/>
        <c:ser>
          <c:idx val="0"/>
          <c:order val="0"/>
          <c:spPr>
            <a:solidFill>
              <a:srgbClr val="C00000"/>
            </a:solidFill>
            <a:ln>
              <a:noFill/>
            </a:ln>
            <a:effectLst/>
          </c:spPr>
          <c:invertIfNegative val="0"/>
          <c:dLbls>
            <c:dLbl>
              <c:idx val="18"/>
              <c:layout>
                <c:manualLayout>
                  <c:x val="0.00108420672208168"/>
                  <c:y val="0.01522170747849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[公报示例.xlsx]资金来源!$A$31:$A$62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[公报示例.xlsx]资金来源!$D$31:$D$62</c:f>
              <c:numCache>
                <c:formatCode>0_ </c:formatCode>
                <c:ptCount val="32"/>
                <c:pt idx="0">
                  <c:v>1260.5018</c:v>
                </c:pt>
                <c:pt idx="1">
                  <c:v>437.9472</c:v>
                </c:pt>
                <c:pt idx="2">
                  <c:v>818.4399</c:v>
                </c:pt>
                <c:pt idx="3">
                  <c:v>419.0655</c:v>
                </c:pt>
                <c:pt idx="4">
                  <c:v>233.0308</c:v>
                </c:pt>
                <c:pt idx="5">
                  <c:v>330.2919</c:v>
                </c:pt>
                <c:pt idx="6">
                  <c:v>444.3903</c:v>
                </c:pt>
                <c:pt idx="7">
                  <c:v>428.5979</c:v>
                </c:pt>
                <c:pt idx="8">
                  <c:v>448.3475</c:v>
                </c:pt>
                <c:pt idx="9">
                  <c:v>2603.6733</c:v>
                </c:pt>
                <c:pt idx="10">
                  <c:v>2543.5937</c:v>
                </c:pt>
                <c:pt idx="11">
                  <c:v>1157.1493</c:v>
                </c:pt>
                <c:pt idx="12">
                  <c:v>982.3384</c:v>
                </c:pt>
                <c:pt idx="13">
                  <c:v>1360.3627</c:v>
                </c:pt>
                <c:pt idx="14">
                  <c:v>1672.2393</c:v>
                </c:pt>
                <c:pt idx="15">
                  <c:v>1248.98265</c:v>
                </c:pt>
                <c:pt idx="16">
                  <c:v>1082.8096</c:v>
                </c:pt>
                <c:pt idx="17">
                  <c:v>1388.5084</c:v>
                </c:pt>
                <c:pt idx="18">
                  <c:v>3745.7424</c:v>
                </c:pt>
                <c:pt idx="19">
                  <c:v>570.701</c:v>
                </c:pt>
                <c:pt idx="20">
                  <c:v>126.631</c:v>
                </c:pt>
                <c:pt idx="21">
                  <c:v>1476.1987</c:v>
                </c:pt>
                <c:pt idx="22">
                  <c:v>1889.1625</c:v>
                </c:pt>
                <c:pt idx="23">
                  <c:v>1016.9232</c:v>
                </c:pt>
                <c:pt idx="24">
                  <c:v>541.3094</c:v>
                </c:pt>
                <c:pt idx="25">
                  <c:v>66.3759</c:v>
                </c:pt>
                <c:pt idx="26">
                  <c:v>1403.0532</c:v>
                </c:pt>
                <c:pt idx="27">
                  <c:v>397.9463</c:v>
                </c:pt>
                <c:pt idx="28">
                  <c:v>76.6236</c:v>
                </c:pt>
                <c:pt idx="29">
                  <c:v>70.4743</c:v>
                </c:pt>
                <c:pt idx="30">
                  <c:v>383.0682</c:v>
                </c:pt>
                <c:pt idx="31">
                  <c:v>83.1733</c:v>
                </c:pt>
              </c:numCache>
            </c:numRef>
          </c:val>
        </c:ser>
        <c:dLbls>
          <c:showLegendKey val="0"/>
          <c:showVal val="1"/>
          <c:showCatName val="0"/>
          <c:showSerName val="0"/>
          <c:showPercent val="0"/>
          <c:showBubbleSize val="0"/>
        </c:dLbls>
        <c:gapWidth val="219"/>
        <c:overlap val="-27"/>
        <c:axId val="124274108"/>
        <c:axId val="339913684"/>
      </c:bar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mn-lt"/>
                <a:ea typeface="+mn-ea"/>
                <a:cs typeface="+mn-cs"/>
              </a:defRPr>
            </a:pPr>
          </a:p>
        </c:txPr>
        <c:crossAx val="339913684"/>
        <c:crosses val="autoZero"/>
        <c:auto val="1"/>
        <c:lblAlgn val="ctr"/>
        <c:lblOffset val="100"/>
        <c:noMultiLvlLbl val="0"/>
      </c:catAx>
      <c:valAx>
        <c:axId val="339913684"/>
        <c:scaling>
          <c:orientation val="minMax"/>
        </c:scaling>
        <c:delete val="0"/>
        <c:axPos val="l"/>
        <c:title>
          <c:tx>
            <c:rich>
              <a:bodyPr rot="0" spcFirstLastPara="0" vertOverflow="ellipsis" vert="mongolianVert" wrap="square" anchor="ctr" anchorCtr="1"/>
              <a:lstStyle/>
              <a:p>
                <a:pPr defTabSz="914400">
                  <a:defRPr lang="zh-CN" sz="1000" b="0" i="0" u="none" strike="noStrike" kern="1200" baseline="0">
                    <a:solidFill>
                      <a:sysClr val="windowText" lastClr="000000"/>
                    </a:solidFill>
                    <a:latin typeface="+mn-lt"/>
                    <a:ea typeface="+mn-ea"/>
                    <a:cs typeface="+mn-cs"/>
                  </a:defRPr>
                </a:pPr>
                <a:r>
                  <a:t>亿元</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1000"/>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年全国城市人均日生活用水量</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06805555555555"/>
          <c:y val="0.00972447325769854"/>
        </c:manualLayout>
      </c:layout>
      <c:overlay val="0"/>
      <c:spPr>
        <a:noFill/>
        <a:ln>
          <a:noFill/>
        </a:ln>
        <a:effectLst/>
      </c:spPr>
    </c:title>
    <c:autoTitleDeleted val="0"/>
    <c:plotArea>
      <c:layout>
        <c:manualLayout>
          <c:layoutTarget val="inner"/>
          <c:xMode val="edge"/>
          <c:yMode val="edge"/>
          <c:x val="0.106472222222222"/>
          <c:y val="0.239034342060524"/>
          <c:w val="0.797555555555555"/>
          <c:h val="0.621013260795648"/>
        </c:manualLayout>
      </c:layout>
      <c:barChart>
        <c:barDir val="col"/>
        <c:grouping val="clustered"/>
        <c:varyColors val="0"/>
        <c:ser>
          <c:idx val="1"/>
          <c:order val="0"/>
          <c:tx>
            <c:strRef>
              <c:f>"城市建成区绿地率"</c:f>
              <c:strCache>
                <c:ptCount val="1"/>
                <c:pt idx="0">
                  <c:v>城市建成区绿地率</c:v>
                </c:pt>
              </c:strCache>
            </c:strRef>
          </c:tx>
          <c:spPr>
            <a:solidFill>
              <a:srgbClr val="C00000"/>
            </a:solidFill>
            <a:ln>
              <a:noFill/>
            </a:ln>
            <a:effectLst/>
          </c:spPr>
          <c:invertIfNegative val="0"/>
          <c:dLbls>
            <c:numFmt formatCode="#,##0.00_);[Red]\(#,##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'[公报示例--li.xlsx]人均日生活用水量'!$A$4:$A$13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'[公报示例--li.xlsx]人均日生活用水量'!$C$4:$C$13</c:f>
              <c:numCache>
                <c:formatCode>#,##0.00_ </c:formatCode>
                <c:ptCount val="10"/>
                <c:pt idx="0">
                  <c:v>171.79</c:v>
                </c:pt>
                <c:pt idx="1">
                  <c:v>173.51</c:v>
                </c:pt>
                <c:pt idx="2">
                  <c:v>173.73</c:v>
                </c:pt>
                <c:pt idx="3">
                  <c:v>174.46</c:v>
                </c:pt>
                <c:pt idx="4">
                  <c:v>176.86</c:v>
                </c:pt>
                <c:pt idx="5">
                  <c:v>178.89</c:v>
                </c:pt>
                <c:pt idx="6">
                  <c:v>179.736542465425</c:v>
                </c:pt>
                <c:pt idx="7">
                  <c:v>179.965286964322</c:v>
                </c:pt>
                <c:pt idx="8">
                  <c:v>179.395736536233</c:v>
                </c:pt>
                <c:pt idx="9">
                  <c:v>185.03</c:v>
                </c:pt>
              </c:numCache>
            </c:numRef>
          </c:val>
        </c:ser>
        <c:dLbls>
          <c:showLegendKey val="0"/>
          <c:showVal val="1"/>
          <c:showCatName val="0"/>
          <c:showSerName val="0"/>
          <c:showPercent val="0"/>
          <c:showBubbleSize val="0"/>
        </c:dLbls>
        <c:gapWidth val="219"/>
        <c:overlap val="-27"/>
        <c:axId val="784184473"/>
        <c:axId val="881424677"/>
      </c:bar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升</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年全国城市供水普及率</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69027777777778"/>
          <c:y val="0.0222602739726028"/>
        </c:manualLayout>
      </c:layout>
      <c:overlay val="0"/>
      <c:spPr>
        <a:noFill/>
        <a:ln>
          <a:noFill/>
        </a:ln>
        <a:effectLst/>
      </c:spPr>
    </c:title>
    <c:autoTitleDeleted val="0"/>
    <c:plotArea>
      <c:layout>
        <c:manualLayout>
          <c:layoutTarget val="inner"/>
          <c:xMode val="edge"/>
          <c:yMode val="edge"/>
          <c:x val="0.0789230769230769"/>
          <c:y val="0.238566552901024"/>
          <c:w val="0.917230769230769"/>
          <c:h val="0.620955631399317"/>
        </c:manualLayout>
      </c:layout>
      <c:barChart>
        <c:barDir val="col"/>
        <c:grouping val="clustered"/>
        <c:varyColors val="0"/>
        <c:ser>
          <c:idx val="1"/>
          <c:order val="0"/>
          <c:tx>
            <c:strRef>
              <c:f>"城市建成区绿地率"</c:f>
              <c:strCache>
                <c:ptCount val="1"/>
                <c:pt idx="0">
                  <c:v>城市建成区绿地率</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'[公报示例--li.xlsx]城市供水普及率'!$A$4:$A$13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'[公报示例--li.xlsx]城市供水普及率'!$C$4:$C$13</c:f>
              <c:numCache>
                <c:formatCode>0.00%</c:formatCode>
                <c:ptCount val="10"/>
                <c:pt idx="0">
                  <c:v>0.9716</c:v>
                </c:pt>
                <c:pt idx="1">
                  <c:v>0.9756</c:v>
                </c:pt>
                <c:pt idx="2">
                  <c:v>0.9764</c:v>
                </c:pt>
                <c:pt idx="3">
                  <c:v>0.9807</c:v>
                </c:pt>
                <c:pt idx="4">
                  <c:v>0.9842</c:v>
                </c:pt>
                <c:pt idx="5">
                  <c:v>0.983</c:v>
                </c:pt>
                <c:pt idx="6">
                  <c:v>0.983555978176296</c:v>
                </c:pt>
                <c:pt idx="7">
                  <c:v>0.987836254855425</c:v>
                </c:pt>
                <c:pt idx="8">
                  <c:v>0.989851935235709</c:v>
                </c:pt>
                <c:pt idx="9">
                  <c:v>0.993792068083718</c:v>
                </c:pt>
              </c:numCache>
            </c:numRef>
          </c:val>
        </c:ser>
        <c:dLbls>
          <c:showLegendKey val="0"/>
          <c:showVal val="1"/>
          <c:showCatName val="0"/>
          <c:showSerName val="0"/>
          <c:showPercent val="0"/>
          <c:showBubbleSize val="0"/>
        </c:dLbls>
        <c:gapWidth val="219"/>
        <c:overlap val="-27"/>
        <c:axId val="784184473"/>
        <c:axId val="881424677"/>
      </c:bar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0.01"/>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2021</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年全国分省（区、市）和新疆兵团城市人均日生活用水量</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63875101376598"/>
          <c:y val="0.00975292587776333"/>
        </c:manualLayout>
      </c:layout>
      <c:overlay val="0"/>
      <c:spPr>
        <a:noFill/>
        <a:ln>
          <a:noFill/>
        </a:ln>
        <a:effectLst/>
      </c:spPr>
    </c:title>
    <c:autoTitleDeleted val="0"/>
    <c:plotArea>
      <c:layout>
        <c:manualLayout>
          <c:layoutTarget val="inner"/>
          <c:xMode val="edge"/>
          <c:yMode val="edge"/>
          <c:x val="0.0840539083557952"/>
          <c:y val="0.255746290369508"/>
          <c:w val="0.890501347708895"/>
          <c:h val="0.472912423625255"/>
        </c:manualLayout>
      </c:layout>
      <c:barChart>
        <c:barDir val="col"/>
        <c:grouping val="clustered"/>
        <c:varyColors val="0"/>
        <c:ser>
          <c:idx val="0"/>
          <c:order val="0"/>
          <c:tx>
            <c:strRef>
              <c:f>"城市人均日生活用水量"</c:f>
              <c:strCache>
                <c:ptCount val="1"/>
                <c:pt idx="0">
                  <c:v>城市人均日生活用水量</c:v>
                </c:pt>
              </c:strCache>
            </c:strRef>
          </c:tx>
          <c:spPr>
            <a:solidFill>
              <a:srgbClr val="C00000"/>
            </a:solidFill>
            <a:ln>
              <a:noFill/>
            </a:ln>
            <a:effectLst/>
          </c:spPr>
          <c:invertIfNegative val="0"/>
          <c:dLbls>
            <c:numFmt formatCode="#,##0_);[Red]\(#,##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'C:\Users\86135\Documents\WeChat Files\wxid_9ogmsp044fmo52\FileStorage\File\2022-08\[公报示例(2).xlsx]第六部分-建成区绿地面积'!$A$31:$A$62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'[公报数据-前三部分.xlsx]人均日生活用水量'!$B$21:$B$52</c:f>
              <c:numCache>
                <c:formatCode>#,##0</c:formatCode>
                <c:ptCount val="32"/>
                <c:pt idx="0">
                  <c:v>163.270301920957</c:v>
                </c:pt>
                <c:pt idx="1">
                  <c:v>122.716052575281</c:v>
                </c:pt>
                <c:pt idx="2">
                  <c:v>128.184887839191</c:v>
                </c:pt>
                <c:pt idx="3">
                  <c:v>138.253007503448</c:v>
                </c:pt>
                <c:pt idx="4">
                  <c:v>109.648869748456</c:v>
                </c:pt>
                <c:pt idx="5">
                  <c:v>154.727333225686</c:v>
                </c:pt>
                <c:pt idx="6">
                  <c:v>125.349410700949</c:v>
                </c:pt>
                <c:pt idx="7">
                  <c:v>120.551083425916</c:v>
                </c:pt>
                <c:pt idx="8">
                  <c:v>211.511145836927</c:v>
                </c:pt>
                <c:pt idx="9">
                  <c:v>226.146582424866</c:v>
                </c:pt>
                <c:pt idx="10">
                  <c:v>212.209709386767</c:v>
                </c:pt>
                <c:pt idx="11">
                  <c:v>190.227480303655</c:v>
                </c:pt>
                <c:pt idx="12">
                  <c:v>231.095265241063</c:v>
                </c:pt>
                <c:pt idx="13">
                  <c:v>200.211343116243</c:v>
                </c:pt>
                <c:pt idx="14">
                  <c:v>126.122760501303</c:v>
                </c:pt>
                <c:pt idx="15">
                  <c:v>141.267698447898</c:v>
                </c:pt>
                <c:pt idx="16">
                  <c:v>190.260266418538</c:v>
                </c:pt>
                <c:pt idx="17">
                  <c:v>210.435637387442</c:v>
                </c:pt>
                <c:pt idx="18">
                  <c:v>250.518205248392</c:v>
                </c:pt>
                <c:pt idx="19">
                  <c:v>262.3669327713</c:v>
                </c:pt>
                <c:pt idx="20">
                  <c:v>315.082623992687</c:v>
                </c:pt>
                <c:pt idx="21">
                  <c:v>178.519279165441</c:v>
                </c:pt>
                <c:pt idx="22">
                  <c:v>194.028516487462</c:v>
                </c:pt>
                <c:pt idx="23">
                  <c:v>172.367214623133</c:v>
                </c:pt>
                <c:pt idx="24">
                  <c:v>174.437230530877</c:v>
                </c:pt>
                <c:pt idx="25">
                  <c:v>256.122518725258</c:v>
                </c:pt>
                <c:pt idx="26">
                  <c:v>161.314141027061</c:v>
                </c:pt>
                <c:pt idx="27">
                  <c:v>141.977409105808</c:v>
                </c:pt>
                <c:pt idx="28">
                  <c:v>143.08205846391</c:v>
                </c:pt>
                <c:pt idx="29">
                  <c:v>168.151752214337</c:v>
                </c:pt>
                <c:pt idx="30">
                  <c:v>159.033141261306</c:v>
                </c:pt>
                <c:pt idx="31">
                  <c:v>198.790620842514</c:v>
                </c:pt>
              </c:numCache>
            </c:numRef>
          </c:val>
        </c:ser>
        <c:dLbls>
          <c:showLegendKey val="0"/>
          <c:showVal val="1"/>
          <c:showCatName val="0"/>
          <c:showSerName val="0"/>
          <c:showPercent val="0"/>
          <c:showBubbleSize val="0"/>
        </c:dLbls>
        <c:gapWidth val="219"/>
        <c:overlap val="-27"/>
        <c:axId val="124274108"/>
        <c:axId val="339913684"/>
      </c:barChart>
      <c:lineChart>
        <c:grouping val="standard"/>
        <c:varyColors val="0"/>
        <c:ser>
          <c:idx val="1"/>
          <c:order val="1"/>
          <c:tx>
            <c:strRef>
              <c:f>"全国城市人均日生活用水量185.0升"</c:f>
              <c:strCache>
                <c:ptCount val="1"/>
                <c:pt idx="0">
                  <c:v>全国城市人均日生活用水量185.0升</c:v>
                </c:pt>
              </c:strCache>
            </c:strRef>
          </c:tx>
          <c:spPr>
            <a:ln w="15875" cap="rnd">
              <a:solidFill>
                <a:srgbClr val="002060"/>
              </a:solidFill>
              <a:prstDash val="dash"/>
              <a:round/>
            </a:ln>
            <a:effectLst/>
            <a:sp3d contourW="15875"/>
          </c:spPr>
          <c:marker>
            <c:symbol val="none"/>
          </c:marker>
          <c:dLbls>
            <c:delete val="1"/>
          </c:dLbls>
          <c:cat>
            <c:strRef>
              <c:f>'C:\Users\86135\Documents\WeChat Files\wxid_9ogmsp044fmo52\FileStorage\File\2022-08\[公报示例(2).xlsx]第六部分-建成区绿地面积'!$A$31:$A$62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'[公报数据-前三部分.xlsx]人均日生活用水量'!$D$21:$D$52</c:f>
              <c:numCache>
                <c:formatCode>#,##0.00</c:formatCode>
                <c:ptCount val="32"/>
                <c:pt idx="0">
                  <c:v>185.03</c:v>
                </c:pt>
                <c:pt idx="1">
                  <c:v>185.03</c:v>
                </c:pt>
                <c:pt idx="2">
                  <c:v>185.03</c:v>
                </c:pt>
                <c:pt idx="3">
                  <c:v>185.03</c:v>
                </c:pt>
                <c:pt idx="4">
                  <c:v>185.03</c:v>
                </c:pt>
                <c:pt idx="5">
                  <c:v>185.03</c:v>
                </c:pt>
                <c:pt idx="6">
                  <c:v>185.03</c:v>
                </c:pt>
                <c:pt idx="7">
                  <c:v>185.03</c:v>
                </c:pt>
                <c:pt idx="8">
                  <c:v>185.03</c:v>
                </c:pt>
                <c:pt idx="9">
                  <c:v>185.03</c:v>
                </c:pt>
                <c:pt idx="10">
                  <c:v>185.03</c:v>
                </c:pt>
                <c:pt idx="11">
                  <c:v>185.03</c:v>
                </c:pt>
                <c:pt idx="12">
                  <c:v>185.03</c:v>
                </c:pt>
                <c:pt idx="13">
                  <c:v>185.03</c:v>
                </c:pt>
                <c:pt idx="14">
                  <c:v>185.03</c:v>
                </c:pt>
                <c:pt idx="15">
                  <c:v>185.03</c:v>
                </c:pt>
                <c:pt idx="16">
                  <c:v>185.03</c:v>
                </c:pt>
                <c:pt idx="17">
                  <c:v>185.03</c:v>
                </c:pt>
                <c:pt idx="18">
                  <c:v>185.03</c:v>
                </c:pt>
                <c:pt idx="19">
                  <c:v>185.03</c:v>
                </c:pt>
                <c:pt idx="20">
                  <c:v>185.03</c:v>
                </c:pt>
                <c:pt idx="21">
                  <c:v>185.03</c:v>
                </c:pt>
                <c:pt idx="22">
                  <c:v>185.03</c:v>
                </c:pt>
                <c:pt idx="23">
                  <c:v>185.03</c:v>
                </c:pt>
                <c:pt idx="24">
                  <c:v>185.03</c:v>
                </c:pt>
                <c:pt idx="25">
                  <c:v>185.03</c:v>
                </c:pt>
                <c:pt idx="26">
                  <c:v>185.03</c:v>
                </c:pt>
                <c:pt idx="27">
                  <c:v>185.03</c:v>
                </c:pt>
                <c:pt idx="28">
                  <c:v>185.03</c:v>
                </c:pt>
                <c:pt idx="29">
                  <c:v>185.03</c:v>
                </c:pt>
                <c:pt idx="30">
                  <c:v>185.03</c:v>
                </c:pt>
                <c:pt idx="31">
                  <c:v>185.03</c:v>
                </c:pt>
              </c:numCache>
            </c:numRef>
          </c:val>
          <c:smooth val="0"/>
        </c:ser>
        <c:dLbls>
          <c:showLegendKey val="0"/>
          <c:showVal val="0"/>
          <c:showCatName val="0"/>
          <c:showSerName val="0"/>
          <c:showPercent val="0"/>
          <c:showBubbleSize val="0"/>
        </c:dLbls>
        <c:marker val="0"/>
        <c:smooth val="0"/>
        <c:axId val="528172304"/>
        <c:axId val="113708956"/>
      </c:line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scaling>
        <c:delete val="0"/>
        <c:axPos val="l"/>
        <c:title>
          <c:tx>
            <c:rich>
              <a:bodyPr rot="0" spcFirstLastPara="0" vertOverflow="ellipsis" vert="horz"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升</a:t>
                </a:r>
                <a:endPar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valAx>
      <c:catAx>
        <c:axId val="52817230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13708956"/>
        <c:crosses val="autoZero"/>
        <c:auto val="1"/>
        <c:lblAlgn val="ctr"/>
        <c:lblOffset val="100"/>
        <c:noMultiLvlLbl val="0"/>
      </c:catAx>
      <c:valAx>
        <c:axId val="113708956"/>
        <c:scaling>
          <c:orientation val="minMax"/>
          <c:max val="0.48"/>
          <c:min val="0.3"/>
        </c:scaling>
        <c:delete val="1"/>
        <c:axPos val="r"/>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28172304"/>
        <c:crosses val="max"/>
        <c:crossBetween val="between"/>
        <c:majorUnit val="0.06"/>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25876010781671"/>
          <c:y val="0.12452720395693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2021</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年全国分省（区、市）和新疆兵团城市供水普及率</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75743589926187"/>
          <c:y val="0.00872854233343033"/>
        </c:manualLayout>
      </c:layout>
      <c:overlay val="0"/>
      <c:spPr>
        <a:noFill/>
        <a:ln>
          <a:noFill/>
        </a:ln>
        <a:effectLst/>
      </c:spPr>
    </c:title>
    <c:autoTitleDeleted val="0"/>
    <c:plotArea>
      <c:layout>
        <c:manualLayout>
          <c:layoutTarget val="inner"/>
          <c:xMode val="edge"/>
          <c:yMode val="edge"/>
          <c:x val="0.0840259428296901"/>
          <c:y val="0.326844583987441"/>
          <c:w val="0.890511650252222"/>
          <c:h val="0.344866562009419"/>
        </c:manualLayout>
      </c:layout>
      <c:barChart>
        <c:barDir val="col"/>
        <c:grouping val="clustered"/>
        <c:varyColors val="0"/>
        <c:ser>
          <c:idx val="0"/>
          <c:order val="0"/>
          <c:tx>
            <c:strRef>
              <c:f>"城市供水普及率"</c:f>
              <c:strCache>
                <c:ptCount val="1"/>
                <c:pt idx="0">
                  <c:v>城市供水普及率</c:v>
                </c:pt>
              </c:strCache>
            </c:strRef>
          </c:tx>
          <c:spPr>
            <a:solidFill>
              <a:srgbClr val="C00000"/>
            </a:solidFill>
            <a:ln>
              <a:noFill/>
            </a:ln>
            <a:effectLst/>
          </c:spPr>
          <c:invertIfNegative val="0"/>
          <c:dLbls>
            <c:dLbl>
              <c:idx val="1"/>
              <c:layout/>
              <c:numFmt formatCode="#,##0_);[Red]\(#,##0\)" sourceLinked="0"/>
              <c:spPr>
                <a:noFill/>
                <a:ln>
                  <a:noFill/>
                </a:ln>
                <a:effectLst/>
              </c:spPr>
              <c:txPr>
                <a:bodyPr rot="0" spcFirstLastPara="0" vertOverflow="ellipsis" vert="eaVert"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numFmt formatCode="#,##0_);[Red]\(#,##0\)" sourceLinked="0"/>
              <c:spPr>
                <a:noFill/>
                <a:ln>
                  <a:noFill/>
                </a:ln>
                <a:effectLst/>
              </c:spPr>
              <c:txPr>
                <a:bodyPr rot="0" spcFirstLastPara="0" vertOverflow="ellipsis" vert="eaVert"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8"/>
              <c:layout/>
              <c:numFmt formatCode="#,##0_);[Red]\(#,##0\)" sourceLinked="0"/>
              <c:spPr>
                <a:noFill/>
                <a:ln>
                  <a:noFill/>
                </a:ln>
                <a:effectLst/>
              </c:spPr>
              <c:txPr>
                <a:bodyPr rot="0" spcFirstLastPara="0" vertOverflow="ellipsis" vert="eaVert"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9"/>
              <c:layout/>
              <c:numFmt formatCode="#,##0_);[Red]\(#,##0\)" sourceLinked="0"/>
              <c:spPr>
                <a:noFill/>
                <a:ln>
                  <a:noFill/>
                </a:ln>
                <a:effectLst/>
              </c:spPr>
              <c:txPr>
                <a:bodyPr rot="0" spcFirstLastPara="0" vertOverflow="ellipsis" vert="eaVert"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0"/>
              <c:layout/>
              <c:numFmt formatCode="0_);[Red]\(0\)" sourceLinked="0"/>
              <c:spPr>
                <a:noFill/>
                <a:ln>
                  <a:noFill/>
                </a:ln>
                <a:effectLst/>
              </c:spPr>
              <c:txPr>
                <a:bodyPr rot="0" spcFirstLastPara="0" vertOverflow="ellipsis" vert="eaVert"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8"/>
              <c:layout/>
              <c:numFmt formatCode="#,##0_);[Red]\(#,##0\)" sourceLinked="0"/>
              <c:spPr>
                <a:noFill/>
                <a:ln>
                  <a:noFill/>
                </a:ln>
                <a:effectLst/>
              </c:spPr>
              <c:txPr>
                <a:bodyPr rot="0" spcFirstLastPara="0" vertOverflow="ellipsis" vert="eaVert"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0.0_);[Red]\(#,##0.0\)" sourceLinked="0"/>
            <c:spPr>
              <a:noFill/>
              <a:ln>
                <a:noFill/>
              </a:ln>
              <a:effectLst/>
            </c:spPr>
            <c:txPr>
              <a:bodyPr rot="0" spcFirstLastPara="0" vertOverflow="ellipsis" vert="eaVert"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'[公报示例(2).xlsx]第六部分-建成区绿地面积'!$A$31:$A$62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'[公报示例--li.xlsx]城市供水普及率'!$B$21:$B$52</c:f>
              <c:numCache>
                <c:formatCode>#,##0.0</c:formatCode>
                <c:ptCount val="32"/>
                <c:pt idx="0">
                  <c:v>98.8006888993268</c:v>
                </c:pt>
                <c:pt idx="1">
                  <c:v>100</c:v>
                </c:pt>
                <c:pt idx="2">
                  <c:v>100</c:v>
                </c:pt>
                <c:pt idx="3">
                  <c:v>99.5260357891343</c:v>
                </c:pt>
                <c:pt idx="4">
                  <c:v>99.583882070408</c:v>
                </c:pt>
                <c:pt idx="5">
                  <c:v>99.6634651575736</c:v>
                </c:pt>
                <c:pt idx="6">
                  <c:v>95.9126295800005</c:v>
                </c:pt>
                <c:pt idx="7">
                  <c:v>99.1689013825282</c:v>
                </c:pt>
                <c:pt idx="8">
                  <c:v>100</c:v>
                </c:pt>
                <c:pt idx="9">
                  <c:v>100</c:v>
                </c:pt>
                <c:pt idx="10">
                  <c:v>100</c:v>
                </c:pt>
                <c:pt idx="11">
                  <c:v>99.8056884950111</c:v>
                </c:pt>
                <c:pt idx="12">
                  <c:v>99.9189326127343</c:v>
                </c:pt>
                <c:pt idx="13">
                  <c:v>99.1680957128614</c:v>
                </c:pt>
                <c:pt idx="14">
                  <c:v>99.8808005698075</c:v>
                </c:pt>
                <c:pt idx="15">
                  <c:v>99.3167434357002</c:v>
                </c:pt>
                <c:pt idx="16">
                  <c:v>99.8704159647531</c:v>
                </c:pt>
                <c:pt idx="17">
                  <c:v>98.9919679758779</c:v>
                </c:pt>
                <c:pt idx="18">
                  <c:v>100</c:v>
                </c:pt>
                <c:pt idx="19">
                  <c:v>99.8107626859778</c:v>
                </c:pt>
                <c:pt idx="20">
                  <c:v>95.7328781736718</c:v>
                </c:pt>
                <c:pt idx="21">
                  <c:v>96.2602719802196</c:v>
                </c:pt>
                <c:pt idx="22">
                  <c:v>98.6576115773064</c:v>
                </c:pt>
                <c:pt idx="23">
                  <c:v>98.4418622615067</c:v>
                </c:pt>
                <c:pt idx="24">
                  <c:v>99.0234184261411</c:v>
                </c:pt>
                <c:pt idx="25">
                  <c:v>98.8999691580138</c:v>
                </c:pt>
                <c:pt idx="26">
                  <c:v>98.1649666324987</c:v>
                </c:pt>
                <c:pt idx="27">
                  <c:v>99.4595231433074</c:v>
                </c:pt>
                <c:pt idx="28">
                  <c:v>98.8275167170468</c:v>
                </c:pt>
                <c:pt idx="29">
                  <c:v>99.6605936409337</c:v>
                </c:pt>
                <c:pt idx="30">
                  <c:v>99.6543955460668</c:v>
                </c:pt>
                <c:pt idx="31">
                  <c:v>97.6978283157797</c:v>
                </c:pt>
              </c:numCache>
            </c:numRef>
          </c:val>
        </c:ser>
        <c:dLbls>
          <c:showLegendKey val="0"/>
          <c:showVal val="1"/>
          <c:showCatName val="0"/>
          <c:showSerName val="0"/>
          <c:showPercent val="0"/>
          <c:showBubbleSize val="0"/>
        </c:dLbls>
        <c:gapWidth val="219"/>
        <c:overlap val="-27"/>
        <c:axId val="124274108"/>
        <c:axId val="339913684"/>
      </c:barChart>
      <c:lineChart>
        <c:grouping val="standard"/>
        <c:varyColors val="0"/>
        <c:ser>
          <c:idx val="1"/>
          <c:order val="1"/>
          <c:tx>
            <c:strRef>
              <c:f>"全国城市供水普及率99.4%"</c:f>
              <c:strCache>
                <c:ptCount val="1"/>
                <c:pt idx="0">
                  <c:v>全国城市供水普及率99.4%</c:v>
                </c:pt>
              </c:strCache>
            </c:strRef>
          </c:tx>
          <c:spPr>
            <a:ln w="15875" cap="rnd">
              <a:solidFill>
                <a:srgbClr val="002060"/>
              </a:solidFill>
              <a:prstDash val="dash"/>
              <a:round/>
            </a:ln>
            <a:effectLst/>
            <a:sp3d contourW="15875"/>
          </c:spPr>
          <c:marker>
            <c:symbol val="none"/>
          </c:marker>
          <c:dLbls>
            <c:delete val="1"/>
          </c:dLbls>
          <c:cat>
            <c:strRef>
              <c:f>'[公报示例(2).xlsx]第六部分-建成区绿地面积'!$A$31:$A$62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'[公报示例--li.xlsx]城市供水普及率'!$D$21:$D$52</c:f>
              <c:numCache>
                <c:formatCode>#,##0.0</c:formatCode>
                <c:ptCount val="32"/>
                <c:pt idx="0">
                  <c:v>99.38</c:v>
                </c:pt>
                <c:pt idx="1">
                  <c:v>99.38</c:v>
                </c:pt>
                <c:pt idx="2">
                  <c:v>99.38</c:v>
                </c:pt>
                <c:pt idx="3">
                  <c:v>99.38</c:v>
                </c:pt>
                <c:pt idx="4">
                  <c:v>99.38</c:v>
                </c:pt>
                <c:pt idx="5">
                  <c:v>99.38</c:v>
                </c:pt>
                <c:pt idx="6">
                  <c:v>99.38</c:v>
                </c:pt>
                <c:pt idx="7">
                  <c:v>99.38</c:v>
                </c:pt>
                <c:pt idx="8">
                  <c:v>99.38</c:v>
                </c:pt>
                <c:pt idx="9">
                  <c:v>99.38</c:v>
                </c:pt>
                <c:pt idx="10">
                  <c:v>99.38</c:v>
                </c:pt>
                <c:pt idx="11">
                  <c:v>99.38</c:v>
                </c:pt>
                <c:pt idx="12">
                  <c:v>99.38</c:v>
                </c:pt>
                <c:pt idx="13">
                  <c:v>99.38</c:v>
                </c:pt>
                <c:pt idx="14">
                  <c:v>99.38</c:v>
                </c:pt>
                <c:pt idx="15">
                  <c:v>99.38</c:v>
                </c:pt>
                <c:pt idx="16">
                  <c:v>99.38</c:v>
                </c:pt>
                <c:pt idx="17">
                  <c:v>99.38</c:v>
                </c:pt>
                <c:pt idx="18">
                  <c:v>99.38</c:v>
                </c:pt>
                <c:pt idx="19">
                  <c:v>99.38</c:v>
                </c:pt>
                <c:pt idx="20">
                  <c:v>99.38</c:v>
                </c:pt>
                <c:pt idx="21">
                  <c:v>99.38</c:v>
                </c:pt>
                <c:pt idx="22">
                  <c:v>99.38</c:v>
                </c:pt>
                <c:pt idx="23">
                  <c:v>99.38</c:v>
                </c:pt>
                <c:pt idx="24">
                  <c:v>99.38</c:v>
                </c:pt>
                <c:pt idx="25">
                  <c:v>99.38</c:v>
                </c:pt>
                <c:pt idx="26">
                  <c:v>99.38</c:v>
                </c:pt>
                <c:pt idx="27">
                  <c:v>99.38</c:v>
                </c:pt>
                <c:pt idx="28">
                  <c:v>99.38</c:v>
                </c:pt>
                <c:pt idx="29">
                  <c:v>99.38</c:v>
                </c:pt>
                <c:pt idx="30">
                  <c:v>99.38</c:v>
                </c:pt>
                <c:pt idx="31">
                  <c:v>99.38</c:v>
                </c:pt>
              </c:numCache>
            </c:numRef>
          </c:val>
          <c:smooth val="0"/>
        </c:ser>
        <c:dLbls>
          <c:showLegendKey val="0"/>
          <c:showVal val="0"/>
          <c:showCatName val="0"/>
          <c:showSerName val="0"/>
          <c:showPercent val="0"/>
          <c:showBubbleSize val="0"/>
        </c:dLbls>
        <c:marker val="0"/>
        <c:smooth val="0"/>
        <c:axId val="528172304"/>
        <c:axId val="113708956"/>
      </c:line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max val="100"/>
          <c:min val="95"/>
        </c:scaling>
        <c:delete val="0"/>
        <c:axPos val="l"/>
        <c:title>
          <c:tx>
            <c:rich>
              <a:bodyPr rot="0" spcFirstLastPara="0" vertOverflow="ellipsis" vert="horz"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1"/>
      </c:valAx>
      <c:catAx>
        <c:axId val="52817230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13708956"/>
        <c:crosses val="autoZero"/>
        <c:auto val="1"/>
        <c:lblAlgn val="ctr"/>
        <c:lblOffset val="100"/>
        <c:noMultiLvlLbl val="0"/>
      </c:catAx>
      <c:valAx>
        <c:axId val="113708956"/>
        <c:scaling>
          <c:orientation val="minMax"/>
          <c:max val="0.48"/>
          <c:min val="0.3"/>
        </c:scaling>
        <c:delete val="1"/>
        <c:axPos val="r"/>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28172304"/>
        <c:crosses val="max"/>
        <c:crossBetween val="between"/>
        <c:majorUnit val="0.06"/>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60646900269542"/>
          <c:y val="0.09659586848996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年城市人工煤气供气总量及同比变化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4027777777778"/>
          <c:y val="0.0188356164383562"/>
        </c:manualLayout>
      </c:layout>
      <c:overlay val="0"/>
      <c:spPr>
        <a:noFill/>
        <a:ln>
          <a:noFill/>
        </a:ln>
        <a:effectLst/>
      </c:spPr>
    </c:title>
    <c:autoTitleDeleted val="0"/>
    <c:plotArea>
      <c:layout>
        <c:manualLayout>
          <c:layoutTarget val="inner"/>
          <c:xMode val="edge"/>
          <c:yMode val="edge"/>
          <c:x val="0.117722222222222"/>
          <c:y val="0.26027397260274"/>
          <c:w val="0.783305555555555"/>
          <c:h val="0.621118721461187"/>
        </c:manualLayout>
      </c:layout>
      <c:barChart>
        <c:barDir val="col"/>
        <c:grouping val="clustered"/>
        <c:varyColors val="0"/>
        <c:ser>
          <c:idx val="1"/>
          <c:order val="0"/>
          <c:tx>
            <c:strRef>
              <c:f>"城市人工煤气供气总量"</c:f>
              <c:strCache>
                <c:ptCount val="1"/>
                <c:pt idx="0">
                  <c:v>城市人工煤气供气总量</c:v>
                </c:pt>
              </c:strCache>
            </c:strRef>
          </c:tx>
          <c:spPr>
            <a:solidFill>
              <a:srgbClr val="C00000"/>
            </a:solidFill>
            <a:ln>
              <a:noFill/>
            </a:ln>
            <a:effectLst/>
          </c:spPr>
          <c:invertIfNegative val="0"/>
          <c:dLbls>
            <c:numFmt formatCode="0.0_);[Red]\(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'[公报示例--li.xlsx]燃气供气总量'!$A$4:$A$13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'[公报示例--li.xlsx]燃气供气总量'!$C$4:$C$13</c:f>
              <c:numCache>
                <c:formatCode>0.00_ </c:formatCode>
                <c:ptCount val="10"/>
                <c:pt idx="0">
                  <c:v>76.9686</c:v>
                </c:pt>
                <c:pt idx="1">
                  <c:v>62.7989</c:v>
                </c:pt>
                <c:pt idx="2">
                  <c:v>55.951269</c:v>
                </c:pt>
                <c:pt idx="3">
                  <c:v>47.137801</c:v>
                </c:pt>
                <c:pt idx="4">
                  <c:v>44.0944</c:v>
                </c:pt>
                <c:pt idx="5">
                  <c:v>27.0882</c:v>
                </c:pt>
                <c:pt idx="6">
                  <c:v>29.7893</c:v>
                </c:pt>
                <c:pt idx="7">
                  <c:v>27.684147</c:v>
                </c:pt>
                <c:pt idx="8">
                  <c:v>23.144726</c:v>
                </c:pt>
                <c:pt idx="9">
                  <c:v>18.723418</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'[公报示例--li.xlsx]燃气供气总量'!$A$4:$A$13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'[公报示例--li.xlsx]燃气供气总量'!$D$4:$D$13</c:f>
              <c:numCache>
                <c:formatCode>0.00%</c:formatCode>
                <c:ptCount val="10"/>
                <c:pt idx="0">
                  <c:v>-0.0915543826187127</c:v>
                </c:pt>
                <c:pt idx="1">
                  <c:v>-0.184097151305857</c:v>
                </c:pt>
                <c:pt idx="2">
                  <c:v>-0.109040620138251</c:v>
                </c:pt>
                <c:pt idx="3">
                  <c:v>-0.157520430859218</c:v>
                </c:pt>
                <c:pt idx="4">
                  <c:v>-0.064563915486851</c:v>
                </c:pt>
                <c:pt idx="5">
                  <c:v>-0.385677092782757</c:v>
                </c:pt>
                <c:pt idx="6">
                  <c:v>0.0997150050575528</c:v>
                </c:pt>
                <c:pt idx="7">
                  <c:v>-0.0706680922344601</c:v>
                </c:pt>
                <c:pt idx="8">
                  <c:v>-0.163971857251011</c:v>
                </c:pt>
                <c:pt idx="9">
                  <c:v>-0.191028746678617</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t>亿立方米</a:t>
                </a:r>
                <a:endParaRPr altLang="en-US"/>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84652777777778"/>
          <c:y val="0.1550019468294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年城市天然气供气总量及同比变化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98888888888889"/>
          <c:y val="0.0156963470319635"/>
        </c:manualLayout>
      </c:layout>
      <c:overlay val="0"/>
      <c:spPr>
        <a:noFill/>
        <a:ln>
          <a:noFill/>
        </a:ln>
        <a:effectLst/>
      </c:spPr>
    </c:title>
    <c:autoTitleDeleted val="0"/>
    <c:plotArea>
      <c:layout>
        <c:manualLayout>
          <c:layoutTarget val="inner"/>
          <c:xMode val="edge"/>
          <c:yMode val="edge"/>
          <c:x val="0.117722222222222"/>
          <c:y val="0.300513698630137"/>
          <c:w val="0.783305555555555"/>
          <c:h val="0.58087899543379"/>
        </c:manualLayout>
      </c:layout>
      <c:barChart>
        <c:barDir val="col"/>
        <c:grouping val="clustered"/>
        <c:varyColors val="0"/>
        <c:ser>
          <c:idx val="1"/>
          <c:order val="0"/>
          <c:tx>
            <c:strRef>
              <c:f>"城市天然气供气总量"</c:f>
              <c:strCache>
                <c:ptCount val="1"/>
                <c:pt idx="0">
                  <c:v>城市天然气供气总量</c:v>
                </c:pt>
              </c:strCache>
            </c:strRef>
          </c:tx>
          <c:spPr>
            <a:solidFill>
              <a:srgbClr val="C00000"/>
            </a:solidFill>
            <a:ln>
              <a:noFill/>
            </a:ln>
            <a:effectLst/>
          </c:spPr>
          <c:invertIfNegative val="0"/>
          <c:dLbls>
            <c:numFmt formatCode="0.0_);[Red]\(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'[公报示例--li.xlsx]燃气供气总量'!$A$23:$A$32</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'[公报示例--li.xlsx]燃气供气总量'!$C$23:$C$32</c:f>
              <c:numCache>
                <c:formatCode>0.00_ </c:formatCode>
                <c:ptCount val="10"/>
                <c:pt idx="0">
                  <c:v>795.0377</c:v>
                </c:pt>
                <c:pt idx="1">
                  <c:v>888.2417</c:v>
                </c:pt>
                <c:pt idx="2">
                  <c:v>964.378286</c:v>
                </c:pt>
                <c:pt idx="3">
                  <c:v>1040.79062</c:v>
                </c:pt>
                <c:pt idx="4">
                  <c:v>1171.7186</c:v>
                </c:pt>
                <c:pt idx="5">
                  <c:v>1263.754572</c:v>
                </c:pt>
                <c:pt idx="6">
                  <c:v>1443.953789</c:v>
                </c:pt>
                <c:pt idx="7">
                  <c:v>1527.9409376</c:v>
                </c:pt>
                <c:pt idx="8">
                  <c:v>1563.701969</c:v>
                </c:pt>
                <c:pt idx="9">
                  <c:v>1721.061247</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strRef>
              <c:f>'[公报示例--li.xlsx]燃气供气总量'!$A$23:$A$32</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'[公报示例--li.xlsx]燃气供气总量'!$D$23:$D$32</c:f>
              <c:numCache>
                <c:formatCode>0.00%</c:formatCode>
                <c:ptCount val="10"/>
                <c:pt idx="0">
                  <c:v>0.171240499958972</c:v>
                </c:pt>
                <c:pt idx="1">
                  <c:v>0.117232176537037</c:v>
                </c:pt>
                <c:pt idx="2">
                  <c:v>0.0857160680476945</c:v>
                </c:pt>
                <c:pt idx="3">
                  <c:v>0.0792348138788352</c:v>
                </c:pt>
                <c:pt idx="4">
                  <c:v>0.125796656391849</c:v>
                </c:pt>
                <c:pt idx="5">
                  <c:v>0.0785478458735742</c:v>
                </c:pt>
                <c:pt idx="6">
                  <c:v>0.142590358122162</c:v>
                </c:pt>
                <c:pt idx="7">
                  <c:v>0.0581647066823132</c:v>
                </c:pt>
                <c:pt idx="8">
                  <c:v>0.0234047210333739</c:v>
                </c:pt>
                <c:pt idx="9">
                  <c:v>0.100632525327465</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min val="500"/>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t>亿立方米</a:t>
                </a:r>
                <a:endParaRPr altLang="en-US"/>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84652777777778"/>
          <c:y val="0.1550019468294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年城市液化石油气供气总量及同比变化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32222222222222"/>
          <c:y val="0.0156963470319635"/>
        </c:manualLayout>
      </c:layout>
      <c:overlay val="0"/>
      <c:spPr>
        <a:noFill/>
        <a:ln>
          <a:noFill/>
        </a:ln>
        <a:effectLst/>
      </c:spPr>
    </c:title>
    <c:autoTitleDeleted val="0"/>
    <c:plotArea>
      <c:layout>
        <c:manualLayout>
          <c:layoutTarget val="inner"/>
          <c:xMode val="edge"/>
          <c:yMode val="edge"/>
          <c:x val="0.117722222222222"/>
          <c:y val="0.344463470319635"/>
          <c:w val="0.783305555555555"/>
          <c:h val="0.536929223744292"/>
        </c:manualLayout>
      </c:layout>
      <c:barChart>
        <c:barDir val="col"/>
        <c:grouping val="clustered"/>
        <c:varyColors val="0"/>
        <c:ser>
          <c:idx val="1"/>
          <c:order val="0"/>
          <c:tx>
            <c:strRef>
              <c:f>"城市液化石油气供气总量"</c:f>
              <c:strCache>
                <c:ptCount val="1"/>
                <c:pt idx="0">
                  <c:v>城市液化石油气供气总量</c:v>
                </c:pt>
              </c:strCache>
            </c:strRef>
          </c:tx>
          <c:spPr>
            <a:solidFill>
              <a:srgbClr val="C00000"/>
            </a:solidFill>
            <a:ln>
              <a:noFill/>
            </a:ln>
            <a:effectLst/>
          </c:spPr>
          <c:invertIfNegative val="0"/>
          <c:dLbls>
            <c:numFmt formatCode="0.0_);[Red]\(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'[公报示例--li.xlsx]燃气供气总量'!$A$42:$A$51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'[公报示例--li.xlsx]燃气供气总量'!$C$42:$C$51</c:f>
              <c:numCache>
                <c:formatCode>0.00_ </c:formatCode>
                <c:ptCount val="10"/>
                <c:pt idx="0">
                  <c:v>1114.8032</c:v>
                </c:pt>
                <c:pt idx="1">
                  <c:v>1109.7298</c:v>
                </c:pt>
                <c:pt idx="2">
                  <c:v>1082.849026</c:v>
                </c:pt>
                <c:pt idx="3">
                  <c:v>1039.216892</c:v>
                </c:pt>
                <c:pt idx="4">
                  <c:v>1078.804185</c:v>
                </c:pt>
                <c:pt idx="5">
                  <c:v>998.808822</c:v>
                </c:pt>
                <c:pt idx="6">
                  <c:v>1015.329777</c:v>
                </c:pt>
                <c:pt idx="7">
                  <c:v>922.717939</c:v>
                </c:pt>
                <c:pt idx="8">
                  <c:v>833.710906</c:v>
                </c:pt>
                <c:pt idx="9">
                  <c:v>860.684058</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strRef>
              <c:f>'[公报示例--li.xlsx]燃气供气总量'!$A$42:$A$51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'[公报示例--li.xlsx]燃气供气总量'!$D$42:$D$51</c:f>
              <c:numCache>
                <c:formatCode>0.00%</c:formatCode>
                <c:ptCount val="10"/>
                <c:pt idx="0">
                  <c:v>-0.0437707780688239</c:v>
                </c:pt>
                <c:pt idx="1">
                  <c:v>-0.00455093777987003</c:v>
                </c:pt>
                <c:pt idx="2">
                  <c:v>-0.0242228099128277</c:v>
                </c:pt>
                <c:pt idx="3">
                  <c:v>-0.0402938294742484</c:v>
                </c:pt>
                <c:pt idx="4">
                  <c:v>0.0380933886898367</c:v>
                </c:pt>
                <c:pt idx="5">
                  <c:v>-0.074151884199448</c:v>
                </c:pt>
                <c:pt idx="6">
                  <c:v>0.0165406578677574</c:v>
                </c:pt>
                <c:pt idx="7">
                  <c:v>-0.0912135545493807</c:v>
                </c:pt>
                <c:pt idx="8">
                  <c:v>-0.0964617996876291</c:v>
                </c:pt>
                <c:pt idx="9">
                  <c:v>0.0323531236138108</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min val="800"/>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t>万吨</a:t>
                </a:r>
                <a:endParaRPr altLang="en-US"/>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84652777777778"/>
          <c:y val="0.1550019468294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年城市人工煤气管道长度及同比变化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4027777777778"/>
          <c:y val="0.0188356164383562"/>
        </c:manualLayout>
      </c:layout>
      <c:overlay val="0"/>
      <c:spPr>
        <a:noFill/>
        <a:ln>
          <a:noFill/>
        </a:ln>
        <a:effectLst/>
      </c:spPr>
    </c:title>
    <c:autoTitleDeleted val="0"/>
    <c:plotArea>
      <c:layout>
        <c:manualLayout>
          <c:layoutTarget val="inner"/>
          <c:xMode val="edge"/>
          <c:yMode val="edge"/>
          <c:x val="0.117722222222222"/>
          <c:y val="0.26027397260274"/>
          <c:w val="0.783305555555555"/>
          <c:h val="0.621118721461187"/>
        </c:manualLayout>
      </c:layout>
      <c:barChart>
        <c:barDir val="col"/>
        <c:grouping val="clustered"/>
        <c:varyColors val="0"/>
        <c:ser>
          <c:idx val="1"/>
          <c:order val="0"/>
          <c:tx>
            <c:strRef>
              <c:f>"城市人工煤气供气总量"</c:f>
              <c:strCache>
                <c:ptCount val="1"/>
                <c:pt idx="0">
                  <c:v>城市人工煤气供气总量</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'[公报示例--li.xlsx]燃气管道长度'!$A$4:$A$13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'[公报示例--li.xlsx]燃气管道长度'!$C$4:$C$13</c:f>
              <c:numCache>
                <c:formatCode>0.00_ </c:formatCode>
                <c:ptCount val="10"/>
                <c:pt idx="0">
                  <c:v>3.3538</c:v>
                </c:pt>
                <c:pt idx="1">
                  <c:v>3.0467</c:v>
                </c:pt>
                <c:pt idx="2">
                  <c:v>2.904294</c:v>
                </c:pt>
                <c:pt idx="3">
                  <c:v>2.129158</c:v>
                </c:pt>
                <c:pt idx="4">
                  <c:v>1.8513</c:v>
                </c:pt>
                <c:pt idx="5">
                  <c:v>1.1716</c:v>
                </c:pt>
                <c:pt idx="6">
                  <c:v>1.312404</c:v>
                </c:pt>
                <c:pt idx="7">
                  <c:v>1.091497</c:v>
                </c:pt>
                <c:pt idx="8">
                  <c:v>0.985956</c:v>
                </c:pt>
                <c:pt idx="9">
                  <c:v>0.916501</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'[公报示例--li.xlsx]燃气管道长度'!$A$4:$A$13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'[公报示例--li.xlsx]燃气管道长度'!$D$4:$D$13</c:f>
              <c:numCache>
                <c:formatCode>0.00%</c:formatCode>
                <c:ptCount val="10"/>
                <c:pt idx="0">
                  <c:v>-0.096010781671159</c:v>
                </c:pt>
                <c:pt idx="1">
                  <c:v>-0.0915677738684477</c:v>
                </c:pt>
                <c:pt idx="2">
                  <c:v>-0.0467410641021434</c:v>
                </c:pt>
                <c:pt idx="3">
                  <c:v>-0.266893090024632</c:v>
                </c:pt>
                <c:pt idx="4">
                  <c:v>-0.130501353117054</c:v>
                </c:pt>
                <c:pt idx="5">
                  <c:v>-0.367147409928159</c:v>
                </c:pt>
                <c:pt idx="6">
                  <c:v>0.120180949129396</c:v>
                </c:pt>
                <c:pt idx="7">
                  <c:v>-0.168322406819851</c:v>
                </c:pt>
                <c:pt idx="8">
                  <c:v>-0.0966938067626388</c:v>
                </c:pt>
                <c:pt idx="9">
                  <c:v>-0.0704443200305084</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t>万公里</a:t>
                </a:r>
                <a:endParaRPr altLang="en-US"/>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1"/>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84652777777778"/>
          <c:y val="0.1550019468294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年城市天然气管道长度及同比变化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4027777777778"/>
          <c:y val="0.0188356164383562"/>
        </c:manualLayout>
      </c:layout>
      <c:overlay val="0"/>
      <c:spPr>
        <a:noFill/>
        <a:ln>
          <a:noFill/>
        </a:ln>
        <a:effectLst/>
      </c:spPr>
    </c:title>
    <c:autoTitleDeleted val="0"/>
    <c:plotArea>
      <c:layout>
        <c:manualLayout>
          <c:layoutTarget val="inner"/>
          <c:xMode val="edge"/>
          <c:yMode val="edge"/>
          <c:x val="0.117722222222222"/>
          <c:y val="0.26027397260274"/>
          <c:w val="0.783305555555555"/>
          <c:h val="0.621118721461187"/>
        </c:manualLayout>
      </c:layout>
      <c:barChart>
        <c:barDir val="col"/>
        <c:grouping val="clustered"/>
        <c:varyColors val="0"/>
        <c:ser>
          <c:idx val="1"/>
          <c:order val="0"/>
          <c:tx>
            <c:strRef>
              <c:f>"城市天然气供气总量"</c:f>
              <c:strCache>
                <c:ptCount val="1"/>
                <c:pt idx="0">
                  <c:v>城市天然气供气总量</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'[公报示例--li.xlsx]燃气管道长度'!$A$23:$A$32</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'[公报示例--li.xlsx]燃气管道长度'!$C$23:$C$32</c:f>
              <c:numCache>
                <c:formatCode>0.00_ </c:formatCode>
                <c:ptCount val="10"/>
                <c:pt idx="0">
                  <c:v>34.2752</c:v>
                </c:pt>
                <c:pt idx="1">
                  <c:v>38.8466</c:v>
                </c:pt>
                <c:pt idx="2">
                  <c:v>43.457147</c:v>
                </c:pt>
                <c:pt idx="3">
                  <c:v>49.808702</c:v>
                </c:pt>
                <c:pt idx="4">
                  <c:v>55.1031</c:v>
                </c:pt>
                <c:pt idx="5">
                  <c:v>62.325334</c:v>
                </c:pt>
                <c:pt idx="6">
                  <c:v>69.804272</c:v>
                </c:pt>
                <c:pt idx="7">
                  <c:v>76.794633</c:v>
                </c:pt>
                <c:pt idx="8">
                  <c:v>85.055213</c:v>
                </c:pt>
                <c:pt idx="9">
                  <c:v>92.908771</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strRef>
              <c:f>'[公报示例--li.xlsx]燃气管道长度'!$A$23:$A$32</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'[公报示例--li.xlsx]燃气管道长度'!$D$23:$D$32</c:f>
              <c:numCache>
                <c:formatCode>0.00%</c:formatCode>
                <c:ptCount val="10"/>
                <c:pt idx="0">
                  <c:v>0.146435117669882</c:v>
                </c:pt>
                <c:pt idx="1">
                  <c:v>0.133373401176361</c:v>
                </c:pt>
                <c:pt idx="2">
                  <c:v>0.118685985388683</c:v>
                </c:pt>
                <c:pt idx="3">
                  <c:v>0.146156741490646</c:v>
                </c:pt>
                <c:pt idx="4">
                  <c:v>0.106294639037171</c:v>
                </c:pt>
                <c:pt idx="5">
                  <c:v>0.131067653181037</c:v>
                </c:pt>
                <c:pt idx="6">
                  <c:v>0.119998362142753</c:v>
                </c:pt>
                <c:pt idx="7">
                  <c:v>0.100142309341755</c:v>
                </c:pt>
                <c:pt idx="8">
                  <c:v>0.107567152511817</c:v>
                </c:pt>
                <c:pt idx="9">
                  <c:v>0.0923348225581424</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t>万公里</a:t>
                </a:r>
                <a:endParaRPr altLang="en-US"/>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84652777777778"/>
          <c:y val="0.1550019468294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2021</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年全国分省（区、市）和新疆兵团城市建成区面积</a:t>
            </a:r>
            <a:endPar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6927458723077"/>
          <c:y val="0.00888362451880367"/>
        </c:manualLayout>
      </c:layout>
      <c:overlay val="0"/>
      <c:spPr>
        <a:noFill/>
        <a:ln>
          <a:noFill/>
        </a:ln>
        <a:effectLst/>
      </c:spPr>
    </c:title>
    <c:autoTitleDeleted val="0"/>
    <c:plotArea>
      <c:layout>
        <c:manualLayout>
          <c:layoutTarget val="inner"/>
          <c:xMode val="edge"/>
          <c:yMode val="edge"/>
          <c:x val="0.102189954772673"/>
          <c:y val="0.271547420965058"/>
          <c:w val="0.883646750773625"/>
          <c:h val="0.423760399334443"/>
        </c:manualLayout>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[公报示例.xlsx]建成区面积!$A$32:$A$62</c:f>
              <c:strCache>
                <c:ptCount val="31"/>
                <c:pt idx="0">
                  <c:v>天津</c:v>
                </c:pt>
                <c:pt idx="1">
                  <c:v>河北</c:v>
                </c:pt>
                <c:pt idx="2">
                  <c:v>山西</c:v>
                </c:pt>
                <c:pt idx="3">
                  <c:v>内蒙古</c:v>
                </c:pt>
                <c:pt idx="4">
                  <c:v>辽宁</c:v>
                </c:pt>
                <c:pt idx="5">
                  <c:v>吉林</c:v>
                </c:pt>
                <c:pt idx="6">
                  <c:v>黑龙江</c:v>
                </c:pt>
                <c:pt idx="7">
                  <c:v>上海</c:v>
                </c:pt>
                <c:pt idx="8">
                  <c:v>江苏</c:v>
                </c:pt>
                <c:pt idx="9">
                  <c:v>浙江</c:v>
                </c:pt>
                <c:pt idx="10">
                  <c:v>安徽</c:v>
                </c:pt>
                <c:pt idx="11">
                  <c:v>福建</c:v>
                </c:pt>
                <c:pt idx="12">
                  <c:v>江西</c:v>
                </c:pt>
                <c:pt idx="13">
                  <c:v>山东</c:v>
                </c:pt>
                <c:pt idx="14">
                  <c:v>河南</c:v>
                </c:pt>
                <c:pt idx="15">
                  <c:v>湖北</c:v>
                </c:pt>
                <c:pt idx="16">
                  <c:v>湖南</c:v>
                </c:pt>
                <c:pt idx="17">
                  <c:v>广东</c:v>
                </c:pt>
                <c:pt idx="18">
                  <c:v>广西</c:v>
                </c:pt>
                <c:pt idx="19">
                  <c:v>海南</c:v>
                </c:pt>
                <c:pt idx="20">
                  <c:v>重庆</c:v>
                </c:pt>
                <c:pt idx="21">
                  <c:v>四川</c:v>
                </c:pt>
                <c:pt idx="22">
                  <c:v>贵州</c:v>
                </c:pt>
                <c:pt idx="23">
                  <c:v>云南</c:v>
                </c:pt>
                <c:pt idx="24">
                  <c:v>西藏</c:v>
                </c:pt>
                <c:pt idx="25">
                  <c:v>陕西</c:v>
                </c:pt>
                <c:pt idx="26">
                  <c:v>甘肃</c:v>
                </c:pt>
                <c:pt idx="27">
                  <c:v>青海</c:v>
                </c:pt>
                <c:pt idx="28">
                  <c:v>宁夏</c:v>
                </c:pt>
                <c:pt idx="29">
                  <c:v>新疆</c:v>
                </c:pt>
                <c:pt idx="30">
                  <c:v>新疆兵团</c:v>
                </c:pt>
              </c:strCache>
            </c:strRef>
          </c:cat>
          <c:val>
            <c:numRef>
              <c:f>[公报示例.xlsx]建成区面积!$C$32:$C$62</c:f>
              <c:numCache>
                <c:formatCode>0_ </c:formatCode>
                <c:ptCount val="31"/>
                <c:pt idx="0">
                  <c:v>1237.33</c:v>
                </c:pt>
                <c:pt idx="1">
                  <c:v>2278.9</c:v>
                </c:pt>
                <c:pt idx="2">
                  <c:v>1268.86</c:v>
                </c:pt>
                <c:pt idx="3">
                  <c:v>1271.48</c:v>
                </c:pt>
                <c:pt idx="4">
                  <c:v>2697.8</c:v>
                </c:pt>
                <c:pt idx="5">
                  <c:v>1585.58</c:v>
                </c:pt>
                <c:pt idx="6">
                  <c:v>1836.84</c:v>
                </c:pt>
                <c:pt idx="7">
                  <c:v>1242</c:v>
                </c:pt>
                <c:pt idx="8">
                  <c:v>4857.64</c:v>
                </c:pt>
                <c:pt idx="9">
                  <c:v>3366.42</c:v>
                </c:pt>
                <c:pt idx="10">
                  <c:v>2460.17</c:v>
                </c:pt>
                <c:pt idx="11">
                  <c:v>1778.32</c:v>
                </c:pt>
                <c:pt idx="12">
                  <c:v>1732.66</c:v>
                </c:pt>
                <c:pt idx="13">
                  <c:v>5669.85</c:v>
                </c:pt>
                <c:pt idx="14">
                  <c:v>3234.53</c:v>
                </c:pt>
                <c:pt idx="15">
                  <c:v>2787.88</c:v>
                </c:pt>
                <c:pt idx="16">
                  <c:v>2065.56</c:v>
                </c:pt>
                <c:pt idx="17">
                  <c:v>6582.65</c:v>
                </c:pt>
                <c:pt idx="18">
                  <c:v>1679.09</c:v>
                </c:pt>
                <c:pt idx="19">
                  <c:v>409.51</c:v>
                </c:pt>
                <c:pt idx="20">
                  <c:v>1645.38</c:v>
                </c:pt>
                <c:pt idx="21">
                  <c:v>3367.42</c:v>
                </c:pt>
                <c:pt idx="22">
                  <c:v>1187.16</c:v>
                </c:pt>
                <c:pt idx="23">
                  <c:v>1252.31</c:v>
                </c:pt>
                <c:pt idx="24">
                  <c:v>170.3</c:v>
                </c:pt>
                <c:pt idx="25">
                  <c:v>1526.97</c:v>
                </c:pt>
                <c:pt idx="26">
                  <c:v>927.57</c:v>
                </c:pt>
                <c:pt idx="27">
                  <c:v>249.44</c:v>
                </c:pt>
                <c:pt idx="28">
                  <c:v>495.3</c:v>
                </c:pt>
                <c:pt idx="29">
                  <c:v>1329.54</c:v>
                </c:pt>
                <c:pt idx="30">
                  <c:v>226.07</c:v>
                </c:pt>
              </c:numCache>
            </c:numRef>
          </c:val>
        </c:ser>
        <c:dLbls>
          <c:showLegendKey val="0"/>
          <c:showVal val="1"/>
          <c:showCatName val="0"/>
          <c:showSerName val="0"/>
          <c:showPercent val="0"/>
          <c:showBubbleSize val="0"/>
        </c:dLbls>
        <c:gapWidth val="219"/>
        <c:overlap val="-27"/>
        <c:axId val="124274108"/>
        <c:axId val="339913684"/>
      </c:bar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mn-lt"/>
                <a:ea typeface="+mn-ea"/>
                <a:cs typeface="+mn-cs"/>
              </a:defRPr>
            </a:pPr>
          </a:p>
        </c:txPr>
        <c:crossAx val="339913684"/>
        <c:crosses val="autoZero"/>
        <c:auto val="1"/>
        <c:lblAlgn val="ctr"/>
        <c:lblOffset val="100"/>
        <c:noMultiLvlLbl val="0"/>
      </c:catAx>
      <c:valAx>
        <c:axId val="339913684"/>
        <c:scaling>
          <c:orientation val="minMax"/>
          <c:max val="8000"/>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mn-lt"/>
                    <a:ea typeface="+mn-ea"/>
                    <a:cs typeface="+mn-cs"/>
                  </a:defRPr>
                </a:pPr>
                <a:r>
                  <a:t>平方公里</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年城市液化石油气管道长度及同比变化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4027777777778"/>
          <c:y val="0.0188356164383562"/>
        </c:manualLayout>
      </c:layout>
      <c:overlay val="0"/>
      <c:spPr>
        <a:noFill/>
        <a:ln>
          <a:noFill/>
        </a:ln>
        <a:effectLst/>
      </c:spPr>
    </c:title>
    <c:autoTitleDeleted val="0"/>
    <c:plotArea>
      <c:layout>
        <c:manualLayout>
          <c:layoutTarget val="inner"/>
          <c:xMode val="edge"/>
          <c:yMode val="edge"/>
          <c:x val="0.117722222222222"/>
          <c:y val="0.26027397260274"/>
          <c:w val="0.783305555555555"/>
          <c:h val="0.621118721461187"/>
        </c:manualLayout>
      </c:layout>
      <c:barChart>
        <c:barDir val="col"/>
        <c:grouping val="clustered"/>
        <c:varyColors val="0"/>
        <c:ser>
          <c:idx val="1"/>
          <c:order val="0"/>
          <c:tx>
            <c:strRef>
              <c:f>"城市液化石油气供气总量"</c:f>
              <c:strCache>
                <c:ptCount val="1"/>
                <c:pt idx="0">
                  <c:v>城市液化石油气供气总量</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'[公报示例--li.xlsx]燃气管道长度'!$A$42:$A$51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'[公报示例--li.xlsx]燃气管道长度'!$C$42:$C$51</c:f>
              <c:numCache>
                <c:formatCode>0.00_ </c:formatCode>
                <c:ptCount val="10"/>
                <c:pt idx="0">
                  <c:v>1.2651</c:v>
                </c:pt>
                <c:pt idx="1">
                  <c:v>1.3437</c:v>
                </c:pt>
                <c:pt idx="2">
                  <c:v>1.098585</c:v>
                </c:pt>
                <c:pt idx="3">
                  <c:v>0.900934</c:v>
                </c:pt>
                <c:pt idx="4">
                  <c:v>0.8716</c:v>
                </c:pt>
                <c:pt idx="5">
                  <c:v>0.620032</c:v>
                </c:pt>
                <c:pt idx="6">
                  <c:v>0.484143</c:v>
                </c:pt>
                <c:pt idx="7">
                  <c:v>0.44515</c:v>
                </c:pt>
                <c:pt idx="8">
                  <c:v>0.401</c:v>
                </c:pt>
                <c:pt idx="9">
                  <c:v>0.290998</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strRef>
              <c:f>'[公报示例--li.xlsx]燃气管道长度'!$A$42:$A$51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'[公报示例--li.xlsx]燃气管道长度'!$D$42:$D$51</c:f>
              <c:numCache>
                <c:formatCode>0.00%</c:formatCode>
                <c:ptCount val="10"/>
                <c:pt idx="0">
                  <c:v>-0.0187698751260373</c:v>
                </c:pt>
                <c:pt idx="1">
                  <c:v>0.0621294759307565</c:v>
                </c:pt>
                <c:pt idx="2">
                  <c:v>-0.182417950435365</c:v>
                </c:pt>
                <c:pt idx="3">
                  <c:v>-0.179914162308788</c:v>
                </c:pt>
                <c:pt idx="4">
                  <c:v>-0.0325595437623621</c:v>
                </c:pt>
                <c:pt idx="5">
                  <c:v>-0.288627810922442</c:v>
                </c:pt>
                <c:pt idx="6">
                  <c:v>-0.219164494735755</c:v>
                </c:pt>
                <c:pt idx="7">
                  <c:v>-0.080540253602758</c:v>
                </c:pt>
                <c:pt idx="8">
                  <c:v>-0.0991800516679771</c:v>
                </c:pt>
                <c:pt idx="9">
                  <c:v>-0.274319201995013</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t>万公里</a:t>
                </a:r>
                <a:endParaRPr altLang="en-US"/>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1"/>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84652777777778"/>
          <c:y val="0.1550019468294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年全国城市燃气普及率</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53888888888889"/>
          <c:y val="0.0222602739726028"/>
        </c:manualLayout>
      </c:layout>
      <c:overlay val="0"/>
      <c:spPr>
        <a:noFill/>
        <a:ln>
          <a:noFill/>
        </a:ln>
        <a:effectLst/>
      </c:spPr>
    </c:title>
    <c:autoTitleDeleted val="0"/>
    <c:plotArea>
      <c:layout>
        <c:manualLayout>
          <c:layoutTarget val="inner"/>
          <c:xMode val="edge"/>
          <c:yMode val="edge"/>
          <c:x val="0.073"/>
          <c:y val="0.26027397260274"/>
          <c:w val="0.831027777777778"/>
          <c:h val="0.621118721461187"/>
        </c:manualLayout>
      </c:layout>
      <c:barChart>
        <c:barDir val="col"/>
        <c:grouping val="clustered"/>
        <c:varyColors val="0"/>
        <c:ser>
          <c:idx val="1"/>
          <c:order val="0"/>
          <c:tx>
            <c:strRef>
              <c:f>"城市建成区绿地率"</c:f>
              <c:strCache>
                <c:ptCount val="1"/>
                <c:pt idx="0">
                  <c:v>城市建成区绿地率</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'[公报示例--li.xlsx]燃气普及率 '!$A$4:$A$13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'[公报示例--li.xlsx]燃气普及率 '!$C$4:$C$13</c:f>
              <c:numCache>
                <c:formatCode>0.00%</c:formatCode>
                <c:ptCount val="10"/>
                <c:pt idx="0">
                  <c:v>0.9315</c:v>
                </c:pt>
                <c:pt idx="1">
                  <c:v>0.9425</c:v>
                </c:pt>
                <c:pt idx="2">
                  <c:v>0.9457</c:v>
                </c:pt>
                <c:pt idx="3">
                  <c:v>0.953</c:v>
                </c:pt>
                <c:pt idx="4">
                  <c:v>0.9575</c:v>
                </c:pt>
                <c:pt idx="5">
                  <c:v>0.9626</c:v>
                </c:pt>
                <c:pt idx="6">
                  <c:v>0.966993876256751</c:v>
                </c:pt>
                <c:pt idx="7">
                  <c:v>0.972944314288112</c:v>
                </c:pt>
                <c:pt idx="8">
                  <c:v>0.978693695436412</c:v>
                </c:pt>
                <c:pt idx="9">
                  <c:v>0.9804</c:v>
                </c:pt>
              </c:numCache>
            </c:numRef>
          </c:val>
        </c:ser>
        <c:dLbls>
          <c:showLegendKey val="0"/>
          <c:showVal val="1"/>
          <c:showCatName val="0"/>
          <c:showSerName val="0"/>
          <c:showPercent val="0"/>
          <c:showBubbleSize val="0"/>
        </c:dLbls>
        <c:gapWidth val="219"/>
        <c:overlap val="-27"/>
        <c:axId val="784184473"/>
        <c:axId val="881424677"/>
      </c:bar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0.03"/>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年全国城市管道燃气普及率</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75"/>
          <c:y val="0.0102006120367222"/>
        </c:manualLayout>
      </c:layout>
      <c:overlay val="0"/>
      <c:spPr>
        <a:noFill/>
        <a:ln>
          <a:noFill/>
        </a:ln>
        <a:effectLst/>
      </c:spPr>
    </c:title>
    <c:autoTitleDeleted val="0"/>
    <c:plotArea>
      <c:layout>
        <c:manualLayout>
          <c:layoutTarget val="inner"/>
          <c:xMode val="edge"/>
          <c:yMode val="edge"/>
          <c:x val="0.073"/>
          <c:y val="0.26027397260274"/>
          <c:w val="0.831027777777778"/>
          <c:h val="0.621118721461187"/>
        </c:manualLayout>
      </c:layout>
      <c:barChart>
        <c:barDir val="col"/>
        <c:grouping val="clustered"/>
        <c:varyColors val="0"/>
        <c:ser>
          <c:idx val="1"/>
          <c:order val="0"/>
          <c:tx>
            <c:strRef>
              <c:f>"城市建成区绿地率"</c:f>
              <c:strCache>
                <c:ptCount val="1"/>
                <c:pt idx="0">
                  <c:v>城市建成区绿地率</c:v>
                </c:pt>
              </c:strCache>
            </c:strRef>
          </c:tx>
          <c:spPr>
            <a:solidFill>
              <a:srgbClr val="C00000"/>
            </a:solidFill>
            <a:ln>
              <a:noFill/>
            </a:ln>
            <a:effectLst/>
          </c:spPr>
          <c:invertIfNegative val="0"/>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'[公报示例--li.xlsx]管道燃气普及率'!$A$4:$A$13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'[公报示例--li.xlsx]管道燃气普及率'!$G$4:$G$13</c:f>
              <c:numCache>
                <c:formatCode>0.00%</c:formatCode>
                <c:ptCount val="10"/>
                <c:pt idx="0">
                  <c:v>0.56007085547567</c:v>
                </c:pt>
                <c:pt idx="1">
                  <c:v>0.593884325756841</c:v>
                </c:pt>
                <c:pt idx="2">
                  <c:v>0.622752539747988</c:v>
                </c:pt>
                <c:pt idx="3">
                  <c:v>0.649644668505825</c:v>
                </c:pt>
                <c:pt idx="4">
                  <c:v>0.669437669004665</c:v>
                </c:pt>
                <c:pt idx="5">
                  <c:v>0.705861033215438</c:v>
                </c:pt>
                <c:pt idx="6">
                  <c:v>0.736650302277225</c:v>
                </c:pt>
                <c:pt idx="7">
                  <c:v>0.757414968062943</c:v>
                </c:pt>
                <c:pt idx="8">
                  <c:v>0.77841613786197</c:v>
                </c:pt>
                <c:pt idx="9">
                  <c:v>0.798371691011079</c:v>
                </c:pt>
              </c:numCache>
            </c:numRef>
          </c:val>
        </c:ser>
        <c:dLbls>
          <c:showLegendKey val="0"/>
          <c:showVal val="1"/>
          <c:showCatName val="0"/>
          <c:showSerName val="0"/>
          <c:showPercent val="0"/>
          <c:showBubbleSize val="0"/>
        </c:dLbls>
        <c:gapWidth val="219"/>
        <c:overlap val="-27"/>
        <c:axId val="784184473"/>
        <c:axId val="881424677"/>
      </c:bar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2021</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年全国分省（区、市）和新疆兵团城市燃气普及率</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78331191004354"/>
          <c:y val="0.00832408435072142"/>
        </c:manualLayout>
      </c:layout>
      <c:overlay val="0"/>
      <c:spPr>
        <a:noFill/>
        <a:ln>
          <a:noFill/>
        </a:ln>
        <a:effectLst/>
      </c:spPr>
    </c:title>
    <c:autoTitleDeleted val="0"/>
    <c:plotArea>
      <c:layout>
        <c:manualLayout>
          <c:layoutTarget val="inner"/>
          <c:xMode val="edge"/>
          <c:yMode val="edge"/>
          <c:x val="0.0840887174541948"/>
          <c:y val="0.370474406991261"/>
          <c:w val="0.890477338476374"/>
          <c:h val="0.343757802746567"/>
        </c:manualLayout>
      </c:layout>
      <c:barChart>
        <c:barDir val="col"/>
        <c:grouping val="clustered"/>
        <c:varyColors val="0"/>
        <c:ser>
          <c:idx val="0"/>
          <c:order val="0"/>
          <c:tx>
            <c:strRef>
              <c:f>"城市燃气普及率"</c:f>
              <c:strCache>
                <c:ptCount val="1"/>
                <c:pt idx="0">
                  <c:v>城市燃气普及率</c:v>
                </c:pt>
              </c:strCache>
            </c:strRef>
          </c:tx>
          <c:spPr>
            <a:solidFill>
              <a:srgbClr val="C00000"/>
            </a:solidFill>
            <a:ln>
              <a:noFill/>
            </a:ln>
            <a:effectLst/>
          </c:spPr>
          <c:invertIfNegative val="0"/>
          <c:dLbls>
            <c:numFmt formatCode="0.0_);[Red]\(0.0\)" sourceLinked="0"/>
            <c:spPr>
              <a:noFill/>
              <a:ln>
                <a:noFill/>
              </a:ln>
              <a:effectLst/>
            </c:spPr>
            <c:txPr>
              <a:bodyPr rot="0" spcFirstLastPara="0" vertOverflow="ellipsis" vert="eaVert"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'C:\Users\86135\Documents\WeChat Files\wxid_9ogmsp044fmo52\FileStorage\File\2022-08\[公报示例(2).xlsx]第六部分-建成区绿地面积'!$A$31:$A$62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'[公报示例--li.xlsx]燃气普及率 '!$B$21:$B$52</c:f>
              <c:numCache>
                <c:formatCode>#,##0.0</c:formatCode>
                <c:ptCount val="32"/>
                <c:pt idx="0">
                  <c:v>100</c:v>
                </c:pt>
                <c:pt idx="1">
                  <c:v>100</c:v>
                </c:pt>
                <c:pt idx="2">
                  <c:v>99.7859839487962</c:v>
                </c:pt>
                <c:pt idx="3">
                  <c:v>97.9018216991778</c:v>
                </c:pt>
                <c:pt idx="4">
                  <c:v>97.8618621277349</c:v>
                </c:pt>
                <c:pt idx="5">
                  <c:v>97.8576900425539</c:v>
                </c:pt>
                <c:pt idx="6">
                  <c:v>94.8521493221969</c:v>
                </c:pt>
                <c:pt idx="7">
                  <c:v>92.228221405822</c:v>
                </c:pt>
                <c:pt idx="8">
                  <c:v>100</c:v>
                </c:pt>
                <c:pt idx="9">
                  <c:v>99.917597257284</c:v>
                </c:pt>
                <c:pt idx="10">
                  <c:v>100</c:v>
                </c:pt>
                <c:pt idx="11">
                  <c:v>99.4849202962993</c:v>
                </c:pt>
                <c:pt idx="12">
                  <c:v>99.3433541631481</c:v>
                </c:pt>
                <c:pt idx="13">
                  <c:v>98.7629112662014</c:v>
                </c:pt>
                <c:pt idx="14">
                  <c:v>99.3281264150343</c:v>
                </c:pt>
                <c:pt idx="15">
                  <c:v>97.6549554350286</c:v>
                </c:pt>
                <c:pt idx="16">
                  <c:v>98.8584456394972</c:v>
                </c:pt>
                <c:pt idx="17">
                  <c:v>97.4505471653973</c:v>
                </c:pt>
                <c:pt idx="18">
                  <c:v>98.2585925716079</c:v>
                </c:pt>
                <c:pt idx="19">
                  <c:v>99.4695394977016</c:v>
                </c:pt>
                <c:pt idx="20">
                  <c:v>99.420890609284</c:v>
                </c:pt>
                <c:pt idx="21">
                  <c:v>98.1898286185247</c:v>
                </c:pt>
                <c:pt idx="22">
                  <c:v>98.1235772047968</c:v>
                </c:pt>
                <c:pt idx="23">
                  <c:v>90.1943258185189</c:v>
                </c:pt>
                <c:pt idx="24">
                  <c:v>78.5337604250083</c:v>
                </c:pt>
                <c:pt idx="25">
                  <c:v>68.0888249203249</c:v>
                </c:pt>
                <c:pt idx="26">
                  <c:v>98.7742550553019</c:v>
                </c:pt>
                <c:pt idx="27">
                  <c:v>96.8720086005037</c:v>
                </c:pt>
                <c:pt idx="28">
                  <c:v>94.4765045342127</c:v>
                </c:pt>
                <c:pt idx="29">
                  <c:v>97.7522333578816</c:v>
                </c:pt>
                <c:pt idx="30">
                  <c:v>98.8145649276354</c:v>
                </c:pt>
                <c:pt idx="31">
                  <c:v>98.7137664274396</c:v>
                </c:pt>
              </c:numCache>
            </c:numRef>
          </c:val>
        </c:ser>
        <c:dLbls>
          <c:showLegendKey val="0"/>
          <c:showVal val="1"/>
          <c:showCatName val="0"/>
          <c:showSerName val="0"/>
          <c:showPercent val="0"/>
          <c:showBubbleSize val="0"/>
        </c:dLbls>
        <c:gapWidth val="219"/>
        <c:overlap val="-27"/>
        <c:axId val="124274108"/>
        <c:axId val="339913684"/>
      </c:barChart>
      <c:lineChart>
        <c:grouping val="standard"/>
        <c:varyColors val="0"/>
        <c:ser>
          <c:idx val="1"/>
          <c:order val="1"/>
          <c:tx>
            <c:strRef>
              <c:f>"全国城市燃气普及率98.0%"</c:f>
              <c:strCache>
                <c:ptCount val="1"/>
                <c:pt idx="0">
                  <c:v>全国城市燃气普及率98.0%</c:v>
                </c:pt>
              </c:strCache>
            </c:strRef>
          </c:tx>
          <c:spPr>
            <a:ln w="15875" cap="rnd">
              <a:solidFill>
                <a:srgbClr val="002060"/>
              </a:solidFill>
              <a:prstDash val="dash"/>
              <a:round/>
            </a:ln>
            <a:effectLst/>
            <a:sp3d contourW="15875"/>
          </c:spPr>
          <c:marker>
            <c:symbol val="none"/>
          </c:marker>
          <c:dLbls>
            <c:delete val="1"/>
          </c:dLbls>
          <c:cat>
            <c:strRef>
              <c:f>'C:\Users\86135\Documents\WeChat Files\wxid_9ogmsp044fmo52\FileStorage\File\2022-08\[公报示例(2).xlsx]第六部分-建成区绿地面积'!$A$31:$A$62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'[公报示例--li.xlsx]燃气普及率 '!$D$21:$D$52</c:f>
              <c:numCache>
                <c:formatCode>#,##0.0</c:formatCode>
                <c:ptCount val="32"/>
                <c:pt idx="0">
                  <c:v>98.04</c:v>
                </c:pt>
                <c:pt idx="1">
                  <c:v>98.04</c:v>
                </c:pt>
                <c:pt idx="2">
                  <c:v>98.04</c:v>
                </c:pt>
                <c:pt idx="3">
                  <c:v>98.04</c:v>
                </c:pt>
                <c:pt idx="4">
                  <c:v>98.04</c:v>
                </c:pt>
                <c:pt idx="5">
                  <c:v>98.04</c:v>
                </c:pt>
                <c:pt idx="6">
                  <c:v>98.04</c:v>
                </c:pt>
                <c:pt idx="7">
                  <c:v>98.04</c:v>
                </c:pt>
                <c:pt idx="8">
                  <c:v>98.04</c:v>
                </c:pt>
                <c:pt idx="9">
                  <c:v>98.04</c:v>
                </c:pt>
                <c:pt idx="10">
                  <c:v>98.04</c:v>
                </c:pt>
                <c:pt idx="11">
                  <c:v>98.04</c:v>
                </c:pt>
                <c:pt idx="12">
                  <c:v>98.04</c:v>
                </c:pt>
                <c:pt idx="13">
                  <c:v>98.04</c:v>
                </c:pt>
                <c:pt idx="14">
                  <c:v>98.04</c:v>
                </c:pt>
                <c:pt idx="15">
                  <c:v>98.04</c:v>
                </c:pt>
                <c:pt idx="16">
                  <c:v>98.04</c:v>
                </c:pt>
                <c:pt idx="17">
                  <c:v>98.04</c:v>
                </c:pt>
                <c:pt idx="18">
                  <c:v>98.04</c:v>
                </c:pt>
                <c:pt idx="19">
                  <c:v>98.04</c:v>
                </c:pt>
                <c:pt idx="20">
                  <c:v>98.04</c:v>
                </c:pt>
                <c:pt idx="21">
                  <c:v>98.04</c:v>
                </c:pt>
                <c:pt idx="22">
                  <c:v>98.04</c:v>
                </c:pt>
                <c:pt idx="23">
                  <c:v>98.04</c:v>
                </c:pt>
                <c:pt idx="24">
                  <c:v>98.04</c:v>
                </c:pt>
                <c:pt idx="25">
                  <c:v>98.04</c:v>
                </c:pt>
                <c:pt idx="26">
                  <c:v>98.04</c:v>
                </c:pt>
                <c:pt idx="27">
                  <c:v>98.04</c:v>
                </c:pt>
                <c:pt idx="28">
                  <c:v>98.04</c:v>
                </c:pt>
                <c:pt idx="29">
                  <c:v>98.04</c:v>
                </c:pt>
                <c:pt idx="30">
                  <c:v>98.04</c:v>
                </c:pt>
                <c:pt idx="31">
                  <c:v>98.04</c:v>
                </c:pt>
              </c:numCache>
            </c:numRef>
          </c:val>
          <c:smooth val="0"/>
        </c:ser>
        <c:dLbls>
          <c:showLegendKey val="0"/>
          <c:showVal val="0"/>
          <c:showCatName val="0"/>
          <c:showSerName val="0"/>
          <c:showPercent val="0"/>
          <c:showBubbleSize val="0"/>
        </c:dLbls>
        <c:marker val="0"/>
        <c:smooth val="0"/>
        <c:axId val="528172304"/>
        <c:axId val="113708956"/>
      </c:line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max val="100"/>
          <c:min val="60"/>
        </c:scaling>
        <c:delete val="0"/>
        <c:axPos val="l"/>
        <c:title>
          <c:tx>
            <c:rich>
              <a:bodyPr rot="0" spcFirstLastPara="0" vertOverflow="ellipsis" vert="horz"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valAx>
      <c:catAx>
        <c:axId val="52817230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13708956"/>
        <c:crosses val="autoZero"/>
        <c:auto val="1"/>
        <c:lblAlgn val="ctr"/>
        <c:lblOffset val="100"/>
        <c:noMultiLvlLbl val="0"/>
      </c:catAx>
      <c:valAx>
        <c:axId val="113708956"/>
        <c:scaling>
          <c:orientation val="minMax"/>
          <c:max val="0.48"/>
          <c:min val="0.3"/>
        </c:scaling>
        <c:delete val="1"/>
        <c:axPos val="r"/>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28172304"/>
        <c:crosses val="max"/>
        <c:crossBetween val="between"/>
        <c:majorUnit val="0.06"/>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74564877060503"/>
          <c:y val="0.13127720404774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2021</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年全国分省（区、市）和新疆兵团城市管道燃气普及率</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48196186182753"/>
          <c:y val="0.00983606557377049"/>
        </c:manualLayout>
      </c:layout>
      <c:overlay val="0"/>
      <c:spPr>
        <a:noFill/>
        <a:ln>
          <a:noFill/>
        </a:ln>
        <a:effectLst/>
      </c:spPr>
    </c:title>
    <c:autoTitleDeleted val="0"/>
    <c:plotArea>
      <c:layout>
        <c:manualLayout>
          <c:layoutTarget val="inner"/>
          <c:xMode val="edge"/>
          <c:yMode val="edge"/>
          <c:x val="0.0840887174541948"/>
          <c:y val="0.331147540983607"/>
          <c:w val="0.890477338476374"/>
          <c:h val="0.368655737704918"/>
        </c:manualLayout>
      </c:layout>
      <c:barChart>
        <c:barDir val="col"/>
        <c:grouping val="clustered"/>
        <c:varyColors val="0"/>
        <c:ser>
          <c:idx val="0"/>
          <c:order val="0"/>
          <c:tx>
            <c:strRef>
              <c:f>"城市管道燃气普及率"</c:f>
              <c:strCache>
                <c:ptCount val="1"/>
                <c:pt idx="0">
                  <c:v>城市管道燃气普及率</c:v>
                </c:pt>
              </c:strCache>
            </c:strRef>
          </c:tx>
          <c:spPr>
            <a:solidFill>
              <a:srgbClr val="C00000"/>
            </a:solidFill>
            <a:ln>
              <a:noFill/>
            </a:ln>
            <a:effectLst/>
          </c:spPr>
          <c:invertIfNegative val="0"/>
          <c:dLbls>
            <c:numFmt formatCode="#,##0.0_);[Red]\(#,##0.0\)" sourceLinked="0"/>
            <c:spPr>
              <a:noFill/>
              <a:ln>
                <a:noFill/>
              </a:ln>
              <a:effectLst/>
            </c:spPr>
            <c:txPr>
              <a:bodyPr rot="0" spcFirstLastPara="0" vertOverflow="ellipsis" vert="eaVert"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'C:\Users\86135\Documents\WeChat Files\wxid_9ogmsp044fmo52\FileStorage\File\2022-08\[公报示例(2).xlsx]第六部分-建成区绿地面积'!$A$31:$A$62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'[公报示例--li.xlsx]管道燃气普及率'!$F$21:$F$52</c:f>
              <c:numCache>
                <c:formatCode>#,##0.0</c:formatCode>
                <c:ptCount val="32"/>
                <c:pt idx="0">
                  <c:v>77.0001565680288</c:v>
                </c:pt>
                <c:pt idx="1">
                  <c:v>95.6487043075339</c:v>
                </c:pt>
                <c:pt idx="2">
                  <c:v>91.0723304247818</c:v>
                </c:pt>
                <c:pt idx="3">
                  <c:v>94.9935515073352</c:v>
                </c:pt>
                <c:pt idx="4">
                  <c:v>74.6776746090594</c:v>
                </c:pt>
                <c:pt idx="5">
                  <c:v>85.6848705447879</c:v>
                </c:pt>
                <c:pt idx="6">
                  <c:v>77.097736820039</c:v>
                </c:pt>
                <c:pt idx="7">
                  <c:v>73.1898801521284</c:v>
                </c:pt>
                <c:pt idx="8">
                  <c:v>77.5406418336728</c:v>
                </c:pt>
                <c:pt idx="9">
                  <c:v>91.0966454642664</c:v>
                </c:pt>
                <c:pt idx="10">
                  <c:v>67.0580012247246</c:v>
                </c:pt>
                <c:pt idx="11">
                  <c:v>92.5251756771345</c:v>
                </c:pt>
                <c:pt idx="12">
                  <c:v>62.955581827394</c:v>
                </c:pt>
                <c:pt idx="13">
                  <c:v>74.0107676969093</c:v>
                </c:pt>
                <c:pt idx="14">
                  <c:v>92.0973470171995</c:v>
                </c:pt>
                <c:pt idx="15">
                  <c:v>85.3045090553394</c:v>
                </c:pt>
                <c:pt idx="16">
                  <c:v>83.5233899183621</c:v>
                </c:pt>
                <c:pt idx="17">
                  <c:v>76.7923890722882</c:v>
                </c:pt>
                <c:pt idx="18">
                  <c:v>58.803892593812</c:v>
                </c:pt>
                <c:pt idx="19">
                  <c:v>60.215462327619</c:v>
                </c:pt>
                <c:pt idx="20">
                  <c:v>79.8165137614679</c:v>
                </c:pt>
                <c:pt idx="21">
                  <c:v>95.0149080066904</c:v>
                </c:pt>
                <c:pt idx="22">
                  <c:v>94.234524274434</c:v>
                </c:pt>
                <c:pt idx="23">
                  <c:v>60.5698458414716</c:v>
                </c:pt>
                <c:pt idx="24">
                  <c:v>51.0361530498643</c:v>
                </c:pt>
                <c:pt idx="25">
                  <c:v>39.1693225043693</c:v>
                </c:pt>
                <c:pt idx="26">
                  <c:v>92.1079228999262</c:v>
                </c:pt>
                <c:pt idx="27">
                  <c:v>86.3555365742309</c:v>
                </c:pt>
                <c:pt idx="28">
                  <c:v>83.2508931025007</c:v>
                </c:pt>
                <c:pt idx="29">
                  <c:v>91.9855272005379</c:v>
                </c:pt>
                <c:pt idx="30">
                  <c:v>93.9289210771535</c:v>
                </c:pt>
                <c:pt idx="31">
                  <c:v>93.1960108118184</c:v>
                </c:pt>
              </c:numCache>
            </c:numRef>
          </c:val>
        </c:ser>
        <c:dLbls>
          <c:showLegendKey val="0"/>
          <c:showVal val="1"/>
          <c:showCatName val="0"/>
          <c:showSerName val="0"/>
          <c:showPercent val="0"/>
          <c:showBubbleSize val="0"/>
        </c:dLbls>
        <c:gapWidth val="219"/>
        <c:overlap val="-27"/>
        <c:axId val="124274108"/>
        <c:axId val="339913684"/>
      </c:barChart>
      <c:lineChart>
        <c:grouping val="standard"/>
        <c:varyColors val="0"/>
        <c:ser>
          <c:idx val="1"/>
          <c:order val="1"/>
          <c:tx>
            <c:strRef>
              <c:f>"全国城市管道燃气普及率79.8%"</c:f>
              <c:strCache>
                <c:ptCount val="1"/>
                <c:pt idx="0">
                  <c:v>全国城市管道燃气普及率79.8%</c:v>
                </c:pt>
              </c:strCache>
            </c:strRef>
          </c:tx>
          <c:spPr>
            <a:ln w="15875" cap="rnd">
              <a:solidFill>
                <a:srgbClr val="002060"/>
              </a:solidFill>
              <a:prstDash val="dash"/>
              <a:round/>
            </a:ln>
            <a:effectLst/>
            <a:sp3d contourW="15875"/>
          </c:spPr>
          <c:marker>
            <c:symbol val="none"/>
          </c:marker>
          <c:dLbls>
            <c:delete val="1"/>
          </c:dLbls>
          <c:cat>
            <c:strRef>
              <c:f>'C:\Users\86135\Documents\WeChat Files\wxid_9ogmsp044fmo52\FileStorage\File\2022-08\[公报示例(2).xlsx]第六部分-建成区绿地面积'!$A$31:$A$62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'[公报示例--li.xlsx]管道燃气普及率'!$H$21:$H$52</c:f>
              <c:numCache>
                <c:formatCode>#,##0.0</c:formatCode>
                <c:ptCount val="32"/>
                <c:pt idx="0">
                  <c:v>79.8371691011079</c:v>
                </c:pt>
                <c:pt idx="1">
                  <c:v>79.8371691011079</c:v>
                </c:pt>
                <c:pt idx="2">
                  <c:v>79.8371691011079</c:v>
                </c:pt>
                <c:pt idx="3">
                  <c:v>79.8371691011079</c:v>
                </c:pt>
                <c:pt idx="4">
                  <c:v>79.8371691011079</c:v>
                </c:pt>
                <c:pt idx="5">
                  <c:v>79.8371691011079</c:v>
                </c:pt>
                <c:pt idx="6">
                  <c:v>79.8371691011079</c:v>
                </c:pt>
                <c:pt idx="7">
                  <c:v>79.8371691011079</c:v>
                </c:pt>
                <c:pt idx="8">
                  <c:v>79.8371691011079</c:v>
                </c:pt>
                <c:pt idx="9">
                  <c:v>79.8371691011079</c:v>
                </c:pt>
                <c:pt idx="10">
                  <c:v>79.8371691011079</c:v>
                </c:pt>
                <c:pt idx="11">
                  <c:v>79.8371691011079</c:v>
                </c:pt>
                <c:pt idx="12">
                  <c:v>79.8371691011079</c:v>
                </c:pt>
                <c:pt idx="13">
                  <c:v>79.8371691011079</c:v>
                </c:pt>
                <c:pt idx="14">
                  <c:v>79.8371691011079</c:v>
                </c:pt>
                <c:pt idx="15">
                  <c:v>79.8371691011079</c:v>
                </c:pt>
                <c:pt idx="16">
                  <c:v>79.8371691011079</c:v>
                </c:pt>
                <c:pt idx="17">
                  <c:v>79.8371691011079</c:v>
                </c:pt>
                <c:pt idx="18">
                  <c:v>79.8371691011079</c:v>
                </c:pt>
                <c:pt idx="19">
                  <c:v>79.8371691011079</c:v>
                </c:pt>
                <c:pt idx="20">
                  <c:v>79.8371691011079</c:v>
                </c:pt>
                <c:pt idx="21">
                  <c:v>79.8371691011079</c:v>
                </c:pt>
                <c:pt idx="22">
                  <c:v>79.8371691011079</c:v>
                </c:pt>
                <c:pt idx="23">
                  <c:v>79.8371691011079</c:v>
                </c:pt>
                <c:pt idx="24">
                  <c:v>79.8371691011079</c:v>
                </c:pt>
                <c:pt idx="25">
                  <c:v>79.8371691011079</c:v>
                </c:pt>
                <c:pt idx="26">
                  <c:v>79.8371691011079</c:v>
                </c:pt>
                <c:pt idx="27">
                  <c:v>79.8371691011079</c:v>
                </c:pt>
                <c:pt idx="28">
                  <c:v>79.8371691011079</c:v>
                </c:pt>
                <c:pt idx="29">
                  <c:v>79.8371691011079</c:v>
                </c:pt>
                <c:pt idx="30">
                  <c:v>79.8371691011079</c:v>
                </c:pt>
                <c:pt idx="31">
                  <c:v>79.8371691011079</c:v>
                </c:pt>
              </c:numCache>
            </c:numRef>
          </c:val>
          <c:smooth val="0"/>
        </c:ser>
        <c:dLbls>
          <c:showLegendKey val="0"/>
          <c:showVal val="0"/>
          <c:showCatName val="0"/>
          <c:showSerName val="0"/>
          <c:showPercent val="0"/>
          <c:showBubbleSize val="0"/>
        </c:dLbls>
        <c:marker val="0"/>
        <c:smooth val="0"/>
        <c:axId val="528172304"/>
        <c:axId val="113708956"/>
      </c:line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max val="100"/>
          <c:min val="20"/>
        </c:scaling>
        <c:delete val="0"/>
        <c:axPos val="l"/>
        <c:title>
          <c:tx>
            <c:rich>
              <a:bodyPr rot="0" spcFirstLastPara="0" vertOverflow="ellipsis" vert="horz"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20"/>
      </c:valAx>
      <c:catAx>
        <c:axId val="52817230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13708956"/>
        <c:crosses val="autoZero"/>
        <c:auto val="1"/>
        <c:lblAlgn val="ctr"/>
        <c:lblOffset val="100"/>
        <c:noMultiLvlLbl val="0"/>
      </c:catAx>
      <c:valAx>
        <c:axId val="113708956"/>
        <c:scaling>
          <c:orientation val="minMax"/>
          <c:max val="0.48"/>
          <c:min val="0.3"/>
        </c:scaling>
        <c:delete val="1"/>
        <c:axPos val="r"/>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28172304"/>
        <c:crosses val="max"/>
        <c:crossBetween val="between"/>
        <c:majorUnit val="0.06"/>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74564877060503"/>
          <c:y val="0.11754437009019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年城市蒸汽供热能力及同比变化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4027777777778"/>
          <c:y val="0.0188356164383562"/>
        </c:manualLayout>
      </c:layout>
      <c:overlay val="0"/>
      <c:spPr>
        <a:noFill/>
        <a:ln>
          <a:noFill/>
        </a:ln>
        <a:effectLst/>
      </c:spPr>
    </c:title>
    <c:autoTitleDeleted val="0"/>
    <c:plotArea>
      <c:layout>
        <c:manualLayout>
          <c:layoutTarget val="inner"/>
          <c:xMode val="edge"/>
          <c:yMode val="edge"/>
          <c:x val="0.117722222222222"/>
          <c:y val="0.26027397260274"/>
          <c:w val="0.783305555555555"/>
          <c:h val="0.621118721461187"/>
        </c:manualLayout>
      </c:layout>
      <c:barChart>
        <c:barDir val="col"/>
        <c:grouping val="clustered"/>
        <c:varyColors val="0"/>
        <c:ser>
          <c:idx val="1"/>
          <c:order val="0"/>
          <c:tx>
            <c:strRef>
              <c:f>"城市蒸汽供热能力"</c:f>
              <c:strCache>
                <c:ptCount val="1"/>
                <c:pt idx="0">
                  <c:v>城市蒸汽供热能力</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'[公报示例--li.xlsx]集中供热能力'!$A$4:$A$13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'[公报示例--li.xlsx]集中供热能力'!$C$4:$C$13</c:f>
              <c:numCache>
                <c:formatCode>0.00_ </c:formatCode>
                <c:ptCount val="10"/>
                <c:pt idx="0">
                  <c:v>8.6452</c:v>
                </c:pt>
                <c:pt idx="1">
                  <c:v>8.4362</c:v>
                </c:pt>
                <c:pt idx="2">
                  <c:v>8.4664</c:v>
                </c:pt>
                <c:pt idx="3">
                  <c:v>8.0699</c:v>
                </c:pt>
                <c:pt idx="4">
                  <c:v>7.8307</c:v>
                </c:pt>
                <c:pt idx="5">
                  <c:v>9.8328</c:v>
                </c:pt>
                <c:pt idx="6">
                  <c:v>9.2322</c:v>
                </c:pt>
                <c:pt idx="7">
                  <c:v>10.0943</c:v>
                </c:pt>
                <c:pt idx="8">
                  <c:v>10.3471</c:v>
                </c:pt>
                <c:pt idx="9">
                  <c:v>11.8784</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'[公报示例--li.xlsx]集中供热能力'!$A$4:$A$13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'[公报示例--li.xlsx]集中供热能力'!$D$4:$D$13</c:f>
              <c:numCache>
                <c:formatCode>0.00%</c:formatCode>
                <c:ptCount val="10"/>
                <c:pt idx="0">
                  <c:v>0.0138261817925955</c:v>
                </c:pt>
                <c:pt idx="1">
                  <c:v>-0.0241752648868738</c:v>
                </c:pt>
                <c:pt idx="2">
                  <c:v>0.00357981081529601</c:v>
                </c:pt>
                <c:pt idx="3">
                  <c:v>-0.0468321836908249</c:v>
                </c:pt>
                <c:pt idx="4">
                  <c:v>-0.0296410116606154</c:v>
                </c:pt>
                <c:pt idx="5">
                  <c:v>0.255673183751133</c:v>
                </c:pt>
                <c:pt idx="6">
                  <c:v>-0.0610812789846229</c:v>
                </c:pt>
                <c:pt idx="7">
                  <c:v>0.0933796928142805</c:v>
                </c:pt>
                <c:pt idx="8">
                  <c:v>0.0250438366206669</c:v>
                </c:pt>
                <c:pt idx="9">
                  <c:v>0.147993157503068</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t>万吨</a:t>
                </a:r>
                <a:r>
                  <a:rPr lang="en-US" altLang="zh-CN"/>
                  <a:t>/</a:t>
                </a:r>
                <a:r>
                  <a:rPr altLang="en-US"/>
                  <a:t>小时</a:t>
                </a:r>
                <a:endParaRPr altLang="en-US"/>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84652777777778"/>
          <c:y val="0.1550019468294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年城市热水供热能力及同比变化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4027777777778"/>
          <c:y val="0.00856164383561644"/>
        </c:manualLayout>
      </c:layout>
      <c:overlay val="0"/>
      <c:spPr>
        <a:noFill/>
        <a:ln>
          <a:noFill/>
        </a:ln>
        <a:effectLst/>
      </c:spPr>
    </c:title>
    <c:autoTitleDeleted val="0"/>
    <c:plotArea>
      <c:layout>
        <c:manualLayout>
          <c:layoutTarget val="inner"/>
          <c:xMode val="edge"/>
          <c:yMode val="edge"/>
          <c:x val="0.117722222222222"/>
          <c:y val="0.26027397260274"/>
          <c:w val="0.783305555555555"/>
          <c:h val="0.621118721461187"/>
        </c:manualLayout>
      </c:layout>
      <c:barChart>
        <c:barDir val="col"/>
        <c:grouping val="clustered"/>
        <c:varyColors val="0"/>
        <c:ser>
          <c:idx val="1"/>
          <c:order val="0"/>
          <c:tx>
            <c:strRef>
              <c:f>"城市热水供热能力"</c:f>
              <c:strCache>
                <c:ptCount val="1"/>
                <c:pt idx="0">
                  <c:v>城市热水供热能力</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'[公报示例--li.xlsx]集中供热能力'!$A$25:$A$34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'[公报示例--li.xlsx]集中供热能力'!$C$25:$C$34</c:f>
              <c:numCache>
                <c:formatCode>0.00_ </c:formatCode>
                <c:ptCount val="10"/>
                <c:pt idx="0">
                  <c:v>36.5278</c:v>
                </c:pt>
                <c:pt idx="1">
                  <c:v>40.3542</c:v>
                </c:pt>
                <c:pt idx="2">
                  <c:v>44.706831</c:v>
                </c:pt>
                <c:pt idx="3">
                  <c:v>47.255631</c:v>
                </c:pt>
                <c:pt idx="4">
                  <c:v>49.325441</c:v>
                </c:pt>
                <c:pt idx="5">
                  <c:v>64.7827</c:v>
                </c:pt>
                <c:pt idx="6">
                  <c:v>57.8244</c:v>
                </c:pt>
                <c:pt idx="7">
                  <c:v>55.053</c:v>
                </c:pt>
                <c:pt idx="8">
                  <c:v>56.618075</c:v>
                </c:pt>
                <c:pt idx="9">
                  <c:v>59.322561</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'[公报示例--li.xlsx]集中供热能力'!$A$25:$A$34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'[公报示例--li.xlsx]集中供热能力'!$D$25:$D$34</c:f>
              <c:numCache>
                <c:formatCode>0.00%</c:formatCode>
                <c:ptCount val="10"/>
                <c:pt idx="0">
                  <c:v>0.0783369053734109</c:v>
                </c:pt>
                <c:pt idx="1">
                  <c:v>0.104753092165419</c:v>
                </c:pt>
                <c:pt idx="2">
                  <c:v>0.107860668777971</c:v>
                </c:pt>
                <c:pt idx="3">
                  <c:v>0.0570114218115796</c:v>
                </c:pt>
                <c:pt idx="4">
                  <c:v>0.0438002827641852</c:v>
                </c:pt>
                <c:pt idx="5">
                  <c:v>0.313372950887555</c:v>
                </c:pt>
                <c:pt idx="6">
                  <c:v>-0.107409848616992</c:v>
                </c:pt>
                <c:pt idx="7">
                  <c:v>-0.0479278643617573</c:v>
                </c:pt>
                <c:pt idx="8">
                  <c:v>0.0284285143407261</c:v>
                </c:pt>
                <c:pt idx="9">
                  <c:v>0.0477671838895972</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t>万兆瓦</a:t>
                </a:r>
                <a:endParaRPr altLang="en-US"/>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14652777777778"/>
          <c:y val="0.10705674135003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年城市集中供热面积及同比变化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4027777777778"/>
          <c:y val="0.0188356164383562"/>
        </c:manualLayout>
      </c:layout>
      <c:overlay val="0"/>
      <c:spPr>
        <a:noFill/>
        <a:ln>
          <a:noFill/>
        </a:ln>
        <a:effectLst/>
      </c:spPr>
    </c:title>
    <c:autoTitleDeleted val="0"/>
    <c:plotArea>
      <c:layout>
        <c:manualLayout>
          <c:layoutTarget val="inner"/>
          <c:xMode val="edge"/>
          <c:yMode val="edge"/>
          <c:x val="0.117722222222222"/>
          <c:y val="0.26027397260274"/>
          <c:w val="0.783305555555555"/>
          <c:h val="0.621118721461187"/>
        </c:manualLayout>
      </c:layout>
      <c:barChart>
        <c:barDir val="col"/>
        <c:grouping val="clustered"/>
        <c:varyColors val="0"/>
        <c:ser>
          <c:idx val="1"/>
          <c:order val="0"/>
          <c:tx>
            <c:strRef>
              <c:f>"城市集中供热面积"</c:f>
              <c:strCache>
                <c:ptCount val="1"/>
                <c:pt idx="0">
                  <c:v>城市集中供热面积</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'[公报示例--li.xlsx]集中供热面积'!$A$4:$A$13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'[公报示例--li.xlsx]集中供热面积'!$C$4:$C$13</c:f>
              <c:numCache>
                <c:formatCode>0.00_ </c:formatCode>
                <c:ptCount val="10"/>
                <c:pt idx="0">
                  <c:v>51.8368</c:v>
                </c:pt>
                <c:pt idx="1">
                  <c:v>57.1677</c:v>
                </c:pt>
                <c:pt idx="2">
                  <c:v>61.124586</c:v>
                </c:pt>
                <c:pt idx="3">
                  <c:v>67.220487</c:v>
                </c:pt>
                <c:pt idx="4">
                  <c:v>73.8663</c:v>
                </c:pt>
                <c:pt idx="5">
                  <c:v>83.0858</c:v>
                </c:pt>
                <c:pt idx="6">
                  <c:v>87.804997</c:v>
                </c:pt>
                <c:pt idx="7">
                  <c:v>92.513684</c:v>
                </c:pt>
                <c:pt idx="8">
                  <c:v>98.82091</c:v>
                </c:pt>
                <c:pt idx="9">
                  <c:v>106.031613</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'[公报示例--li.xlsx]集中供热面积'!$A$4:$A$13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'[公报示例--li.xlsx]集中供热面积'!$D$4:$D$13</c:f>
              <c:numCache>
                <c:formatCode>0.00%</c:formatCode>
                <c:ptCount val="10"/>
                <c:pt idx="0">
                  <c:v>0.0941019536328791</c:v>
                </c:pt>
                <c:pt idx="1">
                  <c:v>0.102840067288104</c:v>
                </c:pt>
                <c:pt idx="2">
                  <c:v>0.0692154135989378</c:v>
                </c:pt>
                <c:pt idx="3">
                  <c:v>0.099729117183714</c:v>
                </c:pt>
                <c:pt idx="4">
                  <c:v>0.0988658859314719</c:v>
                </c:pt>
                <c:pt idx="5">
                  <c:v>0.124813345192598</c:v>
                </c:pt>
                <c:pt idx="6">
                  <c:v>0.0567990799871938</c:v>
                </c:pt>
                <c:pt idx="7">
                  <c:v>0.0536266404063541</c:v>
                </c:pt>
                <c:pt idx="8">
                  <c:v>0.0681761413803388</c:v>
                </c:pt>
                <c:pt idx="9">
                  <c:v>0.0729673810937381</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t>亿平方米</a:t>
                </a:r>
                <a:endParaRPr altLang="en-US"/>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84652777777778"/>
          <c:y val="0.1550019468294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2021</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年全国分省（区、市）和新疆兵团城市集中供热面积</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82212592621605"/>
          <c:y val="0.00888362451880367"/>
        </c:manualLayout>
      </c:layout>
      <c:overlay val="0"/>
      <c:spPr>
        <a:noFill/>
        <a:ln>
          <a:noFill/>
        </a:ln>
        <a:effectLst/>
      </c:spPr>
    </c:title>
    <c:autoTitleDeleted val="0"/>
    <c:plotArea>
      <c:layout>
        <c:manualLayout>
          <c:layoutTarget val="inner"/>
          <c:xMode val="edge"/>
          <c:yMode val="edge"/>
          <c:x val="0.0731960004818697"/>
          <c:y val="0.272336201191264"/>
          <c:w val="0.90391519094085"/>
          <c:h val="0.424685638649901"/>
        </c:manualLayout>
      </c:layout>
      <c:barChart>
        <c:barDir val="col"/>
        <c:grouping val="clustered"/>
        <c:varyColors val="0"/>
        <c:ser>
          <c:idx val="0"/>
          <c:order val="0"/>
          <c:spPr>
            <a:solidFill>
              <a:srgbClr val="C00000"/>
            </a:solidFill>
            <a:ln>
              <a:noFill/>
            </a:ln>
            <a:effectLst/>
          </c:spPr>
          <c:invertIfNegative val="0"/>
          <c:dLbls>
            <c:numFmt formatCode="#,##0.00_);[Red]\(#,##0.00\)" sourceLinked="0"/>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'[公报示例--li.xlsx]集中供热面积'!$A$31:$A$62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'[公报示例--li.xlsx]集中供热面积'!$C$31:$C$62</c:f>
              <c:numCache>
                <c:formatCode>0.0_ </c:formatCode>
                <c:ptCount val="32"/>
                <c:pt idx="0">
                  <c:v>6.837783</c:v>
                </c:pt>
                <c:pt idx="1">
                  <c:v>5.671631</c:v>
                </c:pt>
                <c:pt idx="2">
                  <c:v>9.674002</c:v>
                </c:pt>
                <c:pt idx="3">
                  <c:v>7.7839</c:v>
                </c:pt>
                <c:pt idx="4">
                  <c:v>6.491599</c:v>
                </c:pt>
                <c:pt idx="5">
                  <c:v>14.052052</c:v>
                </c:pt>
                <c:pt idx="6">
                  <c:v>7.216288</c:v>
                </c:pt>
                <c:pt idx="7">
                  <c:v>8.575589</c:v>
                </c:pt>
                <c:pt idx="9">
                  <c:v>0.295002</c:v>
                </c:pt>
                <c:pt idx="11">
                  <c:v>0.255535</c:v>
                </c:pt>
                <c:pt idx="14">
                  <c:v>17.285886</c:v>
                </c:pt>
                <c:pt idx="15">
                  <c:v>6.400255</c:v>
                </c:pt>
                <c:pt idx="16">
                  <c:v>0.195506</c:v>
                </c:pt>
                <c:pt idx="22">
                  <c:v>0.001948</c:v>
                </c:pt>
                <c:pt idx="23">
                  <c:v>0.01755</c:v>
                </c:pt>
                <c:pt idx="24">
                  <c:v>0.0115</c:v>
                </c:pt>
                <c:pt idx="25">
                  <c:v>0.0184</c:v>
                </c:pt>
                <c:pt idx="26">
                  <c:v>4.925218</c:v>
                </c:pt>
                <c:pt idx="27">
                  <c:v>2.836495</c:v>
                </c:pt>
                <c:pt idx="28">
                  <c:v>1.037037</c:v>
                </c:pt>
                <c:pt idx="29">
                  <c:v>1.513775</c:v>
                </c:pt>
                <c:pt idx="30">
                  <c:v>4.399412</c:v>
                </c:pt>
                <c:pt idx="31">
                  <c:v>0.53525</c:v>
                </c:pt>
              </c:numCache>
            </c:numRef>
          </c:val>
        </c:ser>
        <c:dLbls>
          <c:showLegendKey val="0"/>
          <c:showVal val="1"/>
          <c:showCatName val="0"/>
          <c:showSerName val="0"/>
          <c:showPercent val="0"/>
          <c:showBubbleSize val="0"/>
        </c:dLbls>
        <c:gapWidth val="219"/>
        <c:overlap val="-27"/>
        <c:axId val="124274108"/>
        <c:axId val="339913684"/>
      </c:bar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mn-lt"/>
                <a:ea typeface="+mn-ea"/>
                <a:cs typeface="+mn-cs"/>
              </a:defRPr>
            </a:pPr>
          </a:p>
        </c:txPr>
        <c:crossAx val="339913684"/>
        <c:crosses val="autoZero"/>
        <c:auto val="1"/>
        <c:lblAlgn val="ctr"/>
        <c:lblOffset val="100"/>
        <c:noMultiLvlLbl val="0"/>
      </c:catAx>
      <c:valAx>
        <c:axId val="339913684"/>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mn-lt"/>
                    <a:ea typeface="+mn-ea"/>
                    <a:cs typeface="+mn-cs"/>
                  </a:defRPr>
                </a:pPr>
                <a:r>
                  <a:t>亿平方米</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年全国城市污水处理厂处理能力及同比变化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3921961940293"/>
          <c:y val="0.00899011087803416"/>
        </c:manualLayout>
      </c:layout>
      <c:overlay val="0"/>
      <c:spPr>
        <a:noFill/>
        <a:ln>
          <a:noFill/>
        </a:ln>
        <a:effectLst/>
      </c:spPr>
    </c:title>
    <c:autoTitleDeleted val="0"/>
    <c:plotArea>
      <c:layout>
        <c:manualLayout>
          <c:layoutTarget val="inner"/>
          <c:xMode val="edge"/>
          <c:yMode val="edge"/>
          <c:x val="0.117722222222222"/>
          <c:y val="0.26027397260274"/>
          <c:w val="0.783305555555555"/>
          <c:h val="0.621118721461187"/>
        </c:manualLayout>
      </c:layout>
      <c:barChart>
        <c:barDir val="col"/>
        <c:grouping val="clustered"/>
        <c:varyColors val="0"/>
        <c:ser>
          <c:idx val="1"/>
          <c:order val="0"/>
          <c:tx>
            <c:strRef>
              <c:f>"城市污水处理厂处理能力"</c:f>
              <c:strCache>
                <c:ptCount val="1"/>
                <c:pt idx="0">
                  <c:v>城市污水处理厂处理能力</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'[公报示例.xlsx]第六部分-建成区绿地面积'!$A$4:$A$13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'[公报示例.xlsx]第四部分-污水处理'!$E$7:$E$16</c:f>
              <c:numCache>
                <c:formatCode>0.0_);[Red]\(0.0\)</c:formatCode>
                <c:ptCount val="10"/>
                <c:pt idx="0">
                  <c:v>1.1733</c:v>
                </c:pt>
                <c:pt idx="1">
                  <c:v>1.2454</c:v>
                </c:pt>
                <c:pt idx="2">
                  <c:v>1.30868</c:v>
                </c:pt>
                <c:pt idx="3">
                  <c:v>1.40384</c:v>
                </c:pt>
                <c:pt idx="4">
                  <c:v>1.491</c:v>
                </c:pt>
                <c:pt idx="5">
                  <c:v>1.5743</c:v>
                </c:pt>
                <c:pt idx="6">
                  <c:v>1.688054</c:v>
                </c:pt>
                <c:pt idx="7">
                  <c:v>1.786317</c:v>
                </c:pt>
                <c:pt idx="8">
                  <c:v>1.92671</c:v>
                </c:pt>
                <c:pt idx="9">
                  <c:v>2.076722</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'[公报示例.xlsx]第六部分-建成区绿地面积'!$A$4:$A$13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'[公报示例.xlsx]第四部分-污水处理'!$F$7:$F$16</c:f>
              <c:numCache>
                <c:formatCode>0.0%</c:formatCode>
                <c:ptCount val="10"/>
                <c:pt idx="0">
                  <c:v>0.0380429974343095</c:v>
                </c:pt>
                <c:pt idx="1">
                  <c:v>0.0614506093923122</c:v>
                </c:pt>
                <c:pt idx="2">
                  <c:v>0.0508109844226754</c:v>
                </c:pt>
                <c:pt idx="3">
                  <c:v>0.0727144909374331</c:v>
                </c:pt>
                <c:pt idx="4">
                  <c:v>0.0620868475039891</c:v>
                </c:pt>
                <c:pt idx="5">
                  <c:v>0.055868544600939</c:v>
                </c:pt>
                <c:pt idx="6">
                  <c:v>0.0722568760719051</c:v>
                </c:pt>
                <c:pt idx="7">
                  <c:v>0.0582108155307826</c:v>
                </c:pt>
                <c:pt idx="8">
                  <c:v>0.0785935531039563</c:v>
                </c:pt>
                <c:pt idx="9">
                  <c:v>0.0778591484966602</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min val="0"/>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亿立方米</a:t>
                </a:r>
                <a:r>
                  <a:rPr lang="en-US" altLang="zh-CN"/>
                  <a:t>/</a:t>
                </a:r>
                <a:r>
                  <a:rPr altLang="en-US"/>
                  <a:t>日</a:t>
                </a:r>
                <a:endParaRPr lang="en-US" altLang="zh-CN"/>
              </a:p>
            </c:rich>
          </c:tx>
          <c:layout/>
          <c:overlay val="0"/>
          <c:spPr>
            <a:noFill/>
            <a:ln>
              <a:noFill/>
            </a:ln>
            <a:effectLst/>
          </c:spPr>
        </c:title>
        <c:numFmt formatCode="0.0_);[Red]\(0.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94486185685704"/>
          <c:y val="0.13496713580654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年城市城区人口及同比变化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84183039422401"/>
          <c:y val="0.0188356164383562"/>
        </c:manualLayout>
      </c:layout>
      <c:overlay val="0"/>
      <c:spPr>
        <a:noFill/>
        <a:ln>
          <a:noFill/>
        </a:ln>
        <a:effectLst/>
      </c:spPr>
    </c:title>
    <c:autoTitleDeleted val="0"/>
    <c:plotArea>
      <c:layout>
        <c:manualLayout>
          <c:layoutTarget val="inner"/>
          <c:xMode val="edge"/>
          <c:yMode val="edge"/>
          <c:x val="0.0672340425531915"/>
          <c:y val="0.260146561443067"/>
          <c:w val="0.882668200115009"/>
          <c:h val="0.621025930101466"/>
        </c:manualLayout>
      </c:layout>
      <c:barChart>
        <c:barDir val="col"/>
        <c:grouping val="clustered"/>
        <c:varyColors val="0"/>
        <c:ser>
          <c:idx val="1"/>
          <c:order val="0"/>
          <c:tx>
            <c:strRef>
              <c:f>"城市城区人口"</c:f>
              <c:strCache>
                <c:ptCount val="1"/>
                <c:pt idx="0">
                  <c:v>城市城区人口</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[公报示例.xlsx]城区人口!$A$4:$A$13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[公报示例.xlsx]城区人口!$D$4:$D$13</c:f>
              <c:numCache>
                <c:formatCode>0.00_ </c:formatCode>
                <c:ptCount val="10"/>
                <c:pt idx="0">
                  <c:v>4.22268</c:v>
                </c:pt>
                <c:pt idx="1">
                  <c:v>4.33182</c:v>
                </c:pt>
                <c:pt idx="2">
                  <c:v>4.452804</c:v>
                </c:pt>
                <c:pt idx="3">
                  <c:v>4.59993</c:v>
                </c:pt>
                <c:pt idx="4">
                  <c:v>4.771318</c:v>
                </c:pt>
                <c:pt idx="5">
                  <c:v>4.91398</c:v>
                </c:pt>
                <c:pt idx="6">
                  <c:v>5.115172</c:v>
                </c:pt>
                <c:pt idx="7">
                  <c:v>5.24156</c:v>
                </c:pt>
                <c:pt idx="8">
                  <c:v>5.376276</c:v>
                </c:pt>
                <c:pt idx="9">
                  <c:v>5.592796</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[公报示例.xlsx]城区人口!$A$4:$A$13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[公报示例.xlsx]城区人口!$E$4:$E$13</c:f>
              <c:numCache>
                <c:formatCode>0.00%</c:formatCode>
                <c:ptCount val="10"/>
                <c:pt idx="0">
                  <c:v>0.032379518072289</c:v>
                </c:pt>
                <c:pt idx="1">
                  <c:v>0.0258461451021625</c:v>
                </c:pt>
                <c:pt idx="2">
                  <c:v>0.0279291383298477</c:v>
                </c:pt>
                <c:pt idx="3">
                  <c:v>0.0330412028016505</c:v>
                </c:pt>
                <c:pt idx="4">
                  <c:v>0.0372588278517281</c:v>
                </c:pt>
                <c:pt idx="5">
                  <c:v>0.029899914447119</c:v>
                </c:pt>
                <c:pt idx="6">
                  <c:v>0.0409427795798927</c:v>
                </c:pt>
                <c:pt idx="7">
                  <c:v>0.0247084555514459</c:v>
                </c:pt>
                <c:pt idx="8">
                  <c:v>0.025701508711147</c:v>
                </c:pt>
                <c:pt idx="9">
                  <c:v>0.0402732300201851</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min val="3"/>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亿人</a:t>
                </a:r>
              </a:p>
            </c:rich>
          </c:tx>
          <c:layout>
            <c:manualLayout>
              <c:xMode val="edge"/>
              <c:yMode val="edge"/>
              <c:x val="0.00345025876940771"/>
              <c:y val="0.446819804584743"/>
            </c:manualLayout>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1"/>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77360299922889"/>
          <c:y val="0.14964681717898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年全国城市污水处理率</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65662081984897"/>
          <c:y val="0.0102006120367222"/>
        </c:manualLayout>
      </c:layout>
      <c:overlay val="0"/>
      <c:spPr>
        <a:noFill/>
        <a:ln>
          <a:noFill/>
        </a:ln>
        <a:effectLst/>
      </c:spPr>
    </c:title>
    <c:autoTitleDeleted val="0"/>
    <c:plotArea>
      <c:layout>
        <c:manualLayout>
          <c:layoutTarget val="inner"/>
          <c:xMode val="edge"/>
          <c:yMode val="edge"/>
          <c:x val="0.0729773462783172"/>
          <c:y val="0.239034342060524"/>
          <c:w val="0.914886731391586"/>
          <c:h val="0.621013260795648"/>
        </c:manualLayout>
      </c:layout>
      <c:barChart>
        <c:barDir val="col"/>
        <c:grouping val="clustered"/>
        <c:varyColors val="0"/>
        <c:ser>
          <c:idx val="1"/>
          <c:order val="0"/>
          <c:tx>
            <c:strRef>
              <c:f>"城市污水处理率"</c:f>
              <c:strCache>
                <c:ptCount val="1"/>
                <c:pt idx="0">
                  <c:v>城市污水处理率</c:v>
                </c:pt>
              </c:strCache>
            </c:strRef>
          </c:tx>
          <c:spPr>
            <a:solidFill>
              <a:srgbClr val="C00000"/>
            </a:solidFill>
            <a:ln>
              <a:noFill/>
            </a:ln>
            <a:effectLst/>
          </c:spPr>
          <c:invertIfNegative val="0"/>
          <c:dLbls>
            <c:dLbl>
              <c:idx val="9"/>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97.</a:t>
                    </a:r>
                    <a:r>
                      <a:rPr lang="en-US" altLang="zh-CN"/>
                      <a:t>89</a:t>
                    </a:r>
                    <a:r>
                      <a:t>%</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'[公报示例.xlsx]第六部分-建成区绿地率'!$A$4:$A$13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'[公报示例.xlsx]第四部分-污水处理'!$G$7:$G$16</c:f>
              <c:numCache>
                <c:formatCode>0.00%</c:formatCode>
                <c:ptCount val="10"/>
                <c:pt idx="0">
                  <c:v>0.873</c:v>
                </c:pt>
                <c:pt idx="1">
                  <c:v>0.8934</c:v>
                </c:pt>
                <c:pt idx="2">
                  <c:v>0.9018</c:v>
                </c:pt>
                <c:pt idx="3">
                  <c:v>0.919</c:v>
                </c:pt>
                <c:pt idx="4">
                  <c:v>0.9344</c:v>
                </c:pt>
                <c:pt idx="5">
                  <c:v>0.9454</c:v>
                </c:pt>
                <c:pt idx="6">
                  <c:v>0.954881677658859</c:v>
                </c:pt>
                <c:pt idx="7">
                  <c:v>0.968053347045348</c:v>
                </c:pt>
                <c:pt idx="8">
                  <c:v>0.9753482029084</c:v>
                </c:pt>
                <c:pt idx="9">
                  <c:v>0.979229795570347</c:v>
                </c:pt>
              </c:numCache>
            </c:numRef>
          </c:val>
        </c:ser>
        <c:dLbls>
          <c:showLegendKey val="0"/>
          <c:showVal val="1"/>
          <c:showCatName val="0"/>
          <c:showSerName val="0"/>
          <c:showPercent val="0"/>
          <c:showBubbleSize val="0"/>
        </c:dLbls>
        <c:gapWidth val="219"/>
        <c:overlap val="-27"/>
        <c:axId val="784184473"/>
        <c:axId val="881424677"/>
      </c:bar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max val="1"/>
          <c:min val="0.8"/>
        </c:scaling>
        <c:delete val="0"/>
        <c:axPos val="l"/>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0.1"/>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2021</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年全国分省（区、市）和新疆兵团城市污水处理厂处理能力</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21885560491277"/>
          <c:y val="0.0465288097884243"/>
        </c:manualLayout>
      </c:layout>
      <c:overlay val="0"/>
      <c:spPr>
        <a:noFill/>
        <a:ln>
          <a:noFill/>
        </a:ln>
        <a:effectLst/>
      </c:spPr>
    </c:title>
    <c:autoTitleDeleted val="0"/>
    <c:plotArea>
      <c:layout>
        <c:manualLayout>
          <c:layoutTarget val="inner"/>
          <c:xMode val="edge"/>
          <c:yMode val="edge"/>
          <c:x val="0.0924860963199621"/>
          <c:y val="0.23004542504867"/>
          <c:w val="0.88207312744054"/>
          <c:h val="0.472874756651525"/>
        </c:manualLayout>
      </c:layout>
      <c:barChart>
        <c:barDir val="col"/>
        <c:grouping val="clustered"/>
        <c:varyColors val="0"/>
        <c:ser>
          <c:idx val="0"/>
          <c:order val="0"/>
          <c:tx>
            <c:strRef>
              <c:f>"城市污水处理厂处理能力"</c:f>
              <c:strCache>
                <c:ptCount val="1"/>
                <c:pt idx="0">
                  <c:v>城市污水处理厂处理能力</c:v>
                </c:pt>
              </c:strCache>
            </c:strRef>
          </c:tx>
          <c:spPr>
            <a:solidFill>
              <a:srgbClr val="C00000"/>
            </a:solidFill>
            <a:ln>
              <a:noFill/>
            </a:ln>
            <a:effectLst/>
          </c:spPr>
          <c:invertIfNegative val="0"/>
          <c:dLbls>
            <c:dLbl>
              <c:idx val="16"/>
              <c:layout>
                <c:manualLayout>
                  <c:x val="-0.00260324221985564"/>
                  <c:y val="0.024709812882452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0"/>
                  <c:y val="0.01784555483452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_);[Red]\(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'[公报示例.xlsx]第四部分-污水处理'!$B$26:$B$57</c:f>
              <c:numCache>
                <c:formatCode>0.0_ </c:formatCode>
                <c:ptCount val="32"/>
                <c:pt idx="0">
                  <c:v>707.9</c:v>
                </c:pt>
                <c:pt idx="1">
                  <c:v>342.5</c:v>
                </c:pt>
                <c:pt idx="2">
                  <c:v>690.6</c:v>
                </c:pt>
                <c:pt idx="3">
                  <c:v>355.1</c:v>
                </c:pt>
                <c:pt idx="4">
                  <c:v>246.05</c:v>
                </c:pt>
                <c:pt idx="5">
                  <c:v>1029.45</c:v>
                </c:pt>
                <c:pt idx="6">
                  <c:v>457.15</c:v>
                </c:pt>
                <c:pt idx="7">
                  <c:v>432.35</c:v>
                </c:pt>
                <c:pt idx="8">
                  <c:v>857.25</c:v>
                </c:pt>
                <c:pt idx="9">
                  <c:v>1596.17</c:v>
                </c:pt>
                <c:pt idx="10">
                  <c:v>1317.3</c:v>
                </c:pt>
                <c:pt idx="11">
                  <c:v>772.3</c:v>
                </c:pt>
                <c:pt idx="12">
                  <c:v>525.75</c:v>
                </c:pt>
                <c:pt idx="13">
                  <c:v>439.85</c:v>
                </c:pt>
                <c:pt idx="14">
                  <c:v>1444</c:v>
                </c:pt>
                <c:pt idx="15">
                  <c:v>1008.75</c:v>
                </c:pt>
                <c:pt idx="16">
                  <c:v>930.1</c:v>
                </c:pt>
                <c:pt idx="17">
                  <c:v>789.43</c:v>
                </c:pt>
                <c:pt idx="18">
                  <c:v>2889.19</c:v>
                </c:pt>
                <c:pt idx="19">
                  <c:v>505.55</c:v>
                </c:pt>
                <c:pt idx="20">
                  <c:v>125.47</c:v>
                </c:pt>
                <c:pt idx="21">
                  <c:v>448.93</c:v>
                </c:pt>
                <c:pt idx="22">
                  <c:v>930.02</c:v>
                </c:pt>
                <c:pt idx="23">
                  <c:v>347.87</c:v>
                </c:pt>
                <c:pt idx="24">
                  <c:v>365.74</c:v>
                </c:pt>
                <c:pt idx="25">
                  <c:v>30.7</c:v>
                </c:pt>
                <c:pt idx="26">
                  <c:v>535.8</c:v>
                </c:pt>
                <c:pt idx="27">
                  <c:v>170.4</c:v>
                </c:pt>
                <c:pt idx="28">
                  <c:v>62.4</c:v>
                </c:pt>
                <c:pt idx="29">
                  <c:v>120.55</c:v>
                </c:pt>
                <c:pt idx="30">
                  <c:v>242.3</c:v>
                </c:pt>
                <c:pt idx="31">
                  <c:v>50.3</c:v>
                </c:pt>
              </c:numCache>
            </c:numRef>
          </c:val>
        </c:ser>
        <c:dLbls>
          <c:showLegendKey val="0"/>
          <c:showVal val="1"/>
          <c:showCatName val="0"/>
          <c:showSerName val="0"/>
          <c:showPercent val="0"/>
          <c:showBubbleSize val="0"/>
        </c:dLbls>
        <c:gapWidth val="219"/>
        <c:overlap val="-27"/>
        <c:axId val="124274108"/>
        <c:axId val="339913684"/>
      </c:bar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max val="3000"/>
          <c:min val="0"/>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万立方米</a:t>
                </a: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a:t>
                </a:r>
                <a:r>
                  <a:rPr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日</a:t>
                </a:r>
                <a:endPar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0035498757543486"/>
              <c:y val="0.275697598961713"/>
            </c:manualLayout>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600"/>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2021</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年全国分省（区、市）和新疆兵团城市生活污水集中收集率</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2798439919916"/>
          <c:y val="0.0102845389098389"/>
        </c:manualLayout>
      </c:layout>
      <c:overlay val="0"/>
      <c:spPr>
        <a:noFill/>
        <a:ln>
          <a:noFill/>
        </a:ln>
        <a:effectLst/>
      </c:spPr>
    </c:title>
    <c:autoTitleDeleted val="0"/>
    <c:plotArea>
      <c:layout>
        <c:manualLayout>
          <c:layoutTarget val="inner"/>
          <c:xMode val="edge"/>
          <c:yMode val="edge"/>
          <c:x val="0.0663719676549865"/>
          <c:y val="0.331684608670352"/>
          <c:w val="0.919504043126685"/>
          <c:h val="0.396974105324411"/>
        </c:manualLayout>
      </c:layout>
      <c:barChart>
        <c:barDir val="col"/>
        <c:grouping val="clustered"/>
        <c:varyColors val="0"/>
        <c:ser>
          <c:idx val="0"/>
          <c:order val="0"/>
          <c:tx>
            <c:strRef>
              <c:f>"城市生活污水集中收集率"</c:f>
              <c:strCache>
                <c:ptCount val="1"/>
                <c:pt idx="0">
                  <c:v>城市生活污水集中收集率</c:v>
                </c:pt>
              </c:strCache>
            </c:strRef>
          </c:tx>
          <c:spPr>
            <a:solidFill>
              <a:srgbClr val="C00000"/>
            </a:solidFill>
            <a:ln>
              <a:noFill/>
            </a:ln>
            <a:effectLst/>
          </c:spPr>
          <c:invertIfNegative val="0"/>
          <c:dLbls>
            <c:dLbl>
              <c:idx val="0"/>
              <c:layout>
                <c:manualLayout>
                  <c:x val="-0.00121238840515816"/>
                  <c:y val="0.014741172437435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84955362063265"/>
                  <c:y val="0.0075419952005485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7"/>
              <c:layout>
                <c:manualLayout>
                  <c:x val="0"/>
                  <c:y val="0.022625985601645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0_);[Red]\(#,##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'[公报示例.xlsx]第四部分-污水处理'!$C$26:$C$57</c:f>
              <c:numCache>
                <c:formatCode>#,##0.00</c:formatCode>
                <c:ptCount val="32"/>
                <c:pt idx="0">
                  <c:v>86.49435327612</c:v>
                </c:pt>
                <c:pt idx="1">
                  <c:v>87.2962886832122</c:v>
                </c:pt>
                <c:pt idx="2">
                  <c:v>72.0537867090384</c:v>
                </c:pt>
                <c:pt idx="3">
                  <c:v>71.1363829581074</c:v>
                </c:pt>
                <c:pt idx="4">
                  <c:v>76.9930730443408</c:v>
                </c:pt>
                <c:pt idx="5">
                  <c:v>65.7193284177761</c:v>
                </c:pt>
                <c:pt idx="6">
                  <c:v>72.737799911156</c:v>
                </c:pt>
                <c:pt idx="7">
                  <c:v>68.7951727174299</c:v>
                </c:pt>
                <c:pt idx="8">
                  <c:v>95.0261588092959</c:v>
                </c:pt>
                <c:pt idx="9">
                  <c:v>72.9771030141011</c:v>
                </c:pt>
                <c:pt idx="10">
                  <c:v>66.8409942039697</c:v>
                </c:pt>
                <c:pt idx="11">
                  <c:v>60.0019183677187</c:v>
                </c:pt>
                <c:pt idx="12">
                  <c:v>61.2688302287405</c:v>
                </c:pt>
                <c:pt idx="13">
                  <c:v>35.7118480523118</c:v>
                </c:pt>
                <c:pt idx="14">
                  <c:v>71.7170341747848</c:v>
                </c:pt>
                <c:pt idx="15">
                  <c:v>75.149637961336</c:v>
                </c:pt>
                <c:pt idx="16">
                  <c:v>53.2911311160345</c:v>
                </c:pt>
                <c:pt idx="17">
                  <c:v>58.5383964159534</c:v>
                </c:pt>
                <c:pt idx="18">
                  <c:v>71.5083106245331</c:v>
                </c:pt>
                <c:pt idx="19">
                  <c:v>48.3640840403325</c:v>
                </c:pt>
                <c:pt idx="20">
                  <c:v>55.7979270545126</c:v>
                </c:pt>
                <c:pt idx="21">
                  <c:v>64.3603447973691</c:v>
                </c:pt>
                <c:pt idx="22">
                  <c:v>50.3841463596194</c:v>
                </c:pt>
                <c:pt idx="23">
                  <c:v>49.1854512601473</c:v>
                </c:pt>
                <c:pt idx="24">
                  <c:v>62.6582449934854</c:v>
                </c:pt>
                <c:pt idx="25">
                  <c:v>24.5150854642235</c:v>
                </c:pt>
                <c:pt idx="26">
                  <c:v>84.5605298525996</c:v>
                </c:pt>
                <c:pt idx="27">
                  <c:v>83.1231656095791</c:v>
                </c:pt>
                <c:pt idx="28">
                  <c:v>69.1814902008991</c:v>
                </c:pt>
                <c:pt idx="29">
                  <c:v>73.7908387266352</c:v>
                </c:pt>
                <c:pt idx="30">
                  <c:v>87.6169958258429</c:v>
                </c:pt>
                <c:pt idx="31">
                  <c:v>71.9823633655033</c:v>
                </c:pt>
              </c:numCache>
            </c:numRef>
          </c:val>
        </c:ser>
        <c:dLbls>
          <c:showLegendKey val="0"/>
          <c:showVal val="1"/>
          <c:showCatName val="0"/>
          <c:showSerName val="0"/>
          <c:showPercent val="0"/>
          <c:showBubbleSize val="0"/>
        </c:dLbls>
        <c:gapWidth val="219"/>
        <c:overlap val="-27"/>
        <c:axId val="124274108"/>
        <c:axId val="339913684"/>
      </c:barChart>
      <c:lineChart>
        <c:grouping val="standard"/>
        <c:varyColors val="0"/>
        <c:ser>
          <c:idx val="1"/>
          <c:order val="1"/>
          <c:tx>
            <c:strRef>
              <c:f>"全国城市生活污水集中收集率68.6%"</c:f>
              <c:strCache>
                <c:ptCount val="1"/>
                <c:pt idx="0">
                  <c:v>全国城市生活污水集中收集率68.6%</c:v>
                </c:pt>
              </c:strCache>
            </c:strRef>
          </c:tx>
          <c:spPr>
            <a:ln w="15875" cap="rnd">
              <a:solidFill>
                <a:srgbClr val="002060"/>
              </a:solidFill>
              <a:prstDash val="dash"/>
              <a:round/>
            </a:ln>
            <a:effectLst/>
            <a:sp3d contourW="15875"/>
          </c:spPr>
          <c:marker>
            <c:symbol val="none"/>
          </c:marker>
          <c:dLbls>
            <c:delete val="1"/>
          </c:dLbls>
          <c:cat>
            <c:strRef>
              <c:f>'[公报示例.xlsx]第六部分-建成区绿地面积'!$A$31:$A$62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'[公报示例.xlsx]第四部分-污水处理'!$D$25:$D$57</c:f>
              <c:numCache>
                <c:formatCode>#,##0.00</c:formatCode>
                <c:ptCount val="33"/>
                <c:pt idx="0">
                  <c:v>68.5870764568053</c:v>
                </c:pt>
                <c:pt idx="1">
                  <c:v>68.5870764568053</c:v>
                </c:pt>
                <c:pt idx="2">
                  <c:v>68.5870764568053</c:v>
                </c:pt>
                <c:pt idx="3">
                  <c:v>68.5870764568053</c:v>
                </c:pt>
                <c:pt idx="4">
                  <c:v>68.5870764568053</c:v>
                </c:pt>
                <c:pt idx="5">
                  <c:v>68.5870764568053</c:v>
                </c:pt>
                <c:pt idx="6">
                  <c:v>68.5870764568053</c:v>
                </c:pt>
                <c:pt idx="7">
                  <c:v>68.5870764568053</c:v>
                </c:pt>
                <c:pt idx="8">
                  <c:v>68.5870764568053</c:v>
                </c:pt>
                <c:pt idx="9">
                  <c:v>68.5870764568053</c:v>
                </c:pt>
                <c:pt idx="10">
                  <c:v>68.5870764568053</c:v>
                </c:pt>
                <c:pt idx="11">
                  <c:v>68.5870764568053</c:v>
                </c:pt>
                <c:pt idx="12">
                  <c:v>68.5870764568053</c:v>
                </c:pt>
                <c:pt idx="13">
                  <c:v>68.5870764568053</c:v>
                </c:pt>
                <c:pt idx="14">
                  <c:v>68.5870764568053</c:v>
                </c:pt>
                <c:pt idx="15">
                  <c:v>68.5870764568053</c:v>
                </c:pt>
                <c:pt idx="16">
                  <c:v>68.5870764568053</c:v>
                </c:pt>
                <c:pt idx="17">
                  <c:v>68.5870764568053</c:v>
                </c:pt>
                <c:pt idx="18">
                  <c:v>68.5870764568053</c:v>
                </c:pt>
                <c:pt idx="19">
                  <c:v>68.5870764568053</c:v>
                </c:pt>
                <c:pt idx="20">
                  <c:v>68.5870764568053</c:v>
                </c:pt>
                <c:pt idx="21">
                  <c:v>68.5870764568053</c:v>
                </c:pt>
                <c:pt idx="22">
                  <c:v>68.5870764568053</c:v>
                </c:pt>
                <c:pt idx="23">
                  <c:v>68.5870764568053</c:v>
                </c:pt>
                <c:pt idx="24">
                  <c:v>68.5870764568053</c:v>
                </c:pt>
                <c:pt idx="25">
                  <c:v>68.5870764568053</c:v>
                </c:pt>
                <c:pt idx="26">
                  <c:v>68.5870764568053</c:v>
                </c:pt>
                <c:pt idx="27">
                  <c:v>68.5870764568053</c:v>
                </c:pt>
                <c:pt idx="28">
                  <c:v>68.5870764568053</c:v>
                </c:pt>
                <c:pt idx="29">
                  <c:v>68.5870764568053</c:v>
                </c:pt>
                <c:pt idx="30">
                  <c:v>68.5870764568053</c:v>
                </c:pt>
                <c:pt idx="31">
                  <c:v>68.5870764568053</c:v>
                </c:pt>
                <c:pt idx="32">
                  <c:v>68.5870764568053</c:v>
                </c:pt>
              </c:numCache>
            </c:numRef>
          </c:val>
          <c:smooth val="0"/>
        </c:ser>
        <c:dLbls>
          <c:showLegendKey val="0"/>
          <c:showVal val="0"/>
          <c:showCatName val="0"/>
          <c:showSerName val="0"/>
          <c:showPercent val="0"/>
          <c:showBubbleSize val="0"/>
        </c:dLbls>
        <c:marker val="0"/>
        <c:smooth val="0"/>
        <c:axId val="528172304"/>
        <c:axId val="113708956"/>
      </c:line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max val="100"/>
          <c:min val="20"/>
        </c:scaling>
        <c:delete val="0"/>
        <c:axPos val="l"/>
        <c:title>
          <c:tx>
            <c:rich>
              <a:bodyPr rot="0" spcFirstLastPara="0" vertOverflow="ellipsis" vert="horz"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solidFill>
                      <a:sysClr val="windowText" lastClr="000000"/>
                    </a:solidFill>
                  </a:rPr>
                  <a:t>%</a:t>
                </a:r>
                <a:endParaRPr lang="en-US" altLang="zh-CN">
                  <a:solidFill>
                    <a:sysClr val="windowText" lastClr="000000"/>
                  </a:solidFill>
                </a:endParaRP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20"/>
      </c:valAx>
      <c:catAx>
        <c:axId val="52817230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13708956"/>
        <c:crosses val="autoZero"/>
        <c:auto val="1"/>
        <c:lblAlgn val="ctr"/>
        <c:lblOffset val="100"/>
        <c:noMultiLvlLbl val="0"/>
      </c:catAx>
      <c:valAx>
        <c:axId val="113708956"/>
        <c:scaling>
          <c:orientation val="minMax"/>
          <c:max val="0.48"/>
          <c:min val="0.3"/>
        </c:scaling>
        <c:delete val="1"/>
        <c:axPos val="r"/>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28172304"/>
        <c:crosses val="max"/>
        <c:crossBetween val="between"/>
        <c:majorUnit val="0.06"/>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0270802378993"/>
          <c:y val="0.13400919167097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年全国城市生活垃圾无害化处理率</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83830048680174"/>
          <c:y val="0.0107681263460158"/>
        </c:manualLayout>
      </c:layout>
      <c:overlay val="0"/>
      <c:spPr>
        <a:noFill/>
        <a:ln>
          <a:noFill/>
        </a:ln>
        <a:effectLst/>
      </c:spPr>
    </c:title>
    <c:autoTitleDeleted val="0"/>
    <c:plotArea>
      <c:layout>
        <c:manualLayout>
          <c:layoutTarget val="inner"/>
          <c:xMode val="edge"/>
          <c:yMode val="edge"/>
          <c:x val="0.0727143869596031"/>
          <c:y val="0.306049822064057"/>
          <c:w val="0.923742026931254"/>
          <c:h val="0.547473309608541"/>
        </c:manualLayout>
      </c:layout>
      <c:barChart>
        <c:barDir val="col"/>
        <c:grouping val="clustered"/>
        <c:varyColors val="0"/>
        <c:ser>
          <c:idx val="1"/>
          <c:order val="0"/>
          <c:tx>
            <c:strRef>
              <c:f>"城市生活垃圾无害化处理率"</c:f>
              <c:strCache>
                <c:ptCount val="1"/>
                <c:pt idx="0">
                  <c:v>城市生活垃圾无害化处理率</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'[公报示例.xlsx]第六部分-建成区绿地率'!$A$4:$A$13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[公报示例.xlsx]第四部分生活垃圾!$E$4:$E$13</c:f>
              <c:numCache>
                <c:formatCode>0.00%</c:formatCode>
                <c:ptCount val="10"/>
                <c:pt idx="0">
                  <c:v>0.848310988817985</c:v>
                </c:pt>
                <c:pt idx="1">
                  <c:v>0.89297523058182</c:v>
                </c:pt>
                <c:pt idx="2">
                  <c:v>0.917917133258679</c:v>
                </c:pt>
                <c:pt idx="3">
                  <c:v>0.941019747152858</c:v>
                </c:pt>
                <c:pt idx="4">
                  <c:v>0.966211570572635</c:v>
                </c:pt>
                <c:pt idx="5">
                  <c:v>0.977370940012081</c:v>
                </c:pt>
                <c:pt idx="6">
                  <c:v>0.989606174896939</c:v>
                </c:pt>
                <c:pt idx="7">
                  <c:v>0.992026770222259</c:v>
                </c:pt>
                <c:pt idx="8">
                  <c:v>0.997448111602586</c:v>
                </c:pt>
                <c:pt idx="9">
                  <c:v>0.998793678877317</c:v>
                </c:pt>
              </c:numCache>
            </c:numRef>
          </c:val>
        </c:ser>
        <c:dLbls>
          <c:showLegendKey val="0"/>
          <c:showVal val="1"/>
          <c:showCatName val="0"/>
          <c:showSerName val="0"/>
          <c:showPercent val="0"/>
          <c:showBubbleSize val="0"/>
        </c:dLbls>
        <c:gapWidth val="219"/>
        <c:overlap val="-27"/>
        <c:axId val="784184473"/>
        <c:axId val="881424677"/>
      </c:bar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max val="1"/>
          <c:min val="0.8"/>
        </c:scaling>
        <c:delete val="0"/>
        <c:axPos val="l"/>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0.1"/>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年全国城市生活垃圾无害化处理能力及同比变化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1978724916514"/>
          <c:y val="0.00861821315713875"/>
        </c:manualLayout>
      </c:layout>
      <c:overlay val="0"/>
      <c:spPr>
        <a:noFill/>
        <a:ln>
          <a:noFill/>
        </a:ln>
        <a:effectLst/>
      </c:spPr>
    </c:title>
    <c:autoTitleDeleted val="0"/>
    <c:plotArea>
      <c:layout>
        <c:manualLayout>
          <c:layoutTarget val="inner"/>
          <c:xMode val="edge"/>
          <c:yMode val="edge"/>
          <c:x val="0.117722222222222"/>
          <c:y val="0.26027397260274"/>
          <c:w val="0.783305555555555"/>
          <c:h val="0.621118721461187"/>
        </c:manualLayout>
      </c:layout>
      <c:barChart>
        <c:barDir val="col"/>
        <c:grouping val="clustered"/>
        <c:varyColors val="0"/>
        <c:ser>
          <c:idx val="1"/>
          <c:order val="0"/>
          <c:tx>
            <c:strRef>
              <c:f>"城市生活垃圾无害化处理能力"</c:f>
              <c:strCache>
                <c:ptCount val="1"/>
                <c:pt idx="0">
                  <c:v>城市生活垃圾无害化处理能力</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'[公报示例.xlsx]第六部分-建成区绿地面积'!$A$4:$A$13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[公报示例.xlsx]第四部分生活垃圾!$G$4:$G$13</c:f>
              <c:numCache>
                <c:formatCode>0.0_ </c:formatCode>
                <c:ptCount val="10"/>
                <c:pt idx="0">
                  <c:v>44.6268</c:v>
                </c:pt>
                <c:pt idx="1">
                  <c:v>49.23</c:v>
                </c:pt>
                <c:pt idx="2">
                  <c:v>53.3455</c:v>
                </c:pt>
                <c:pt idx="3">
                  <c:v>57.6894</c:v>
                </c:pt>
                <c:pt idx="4">
                  <c:v>62.1351</c:v>
                </c:pt>
                <c:pt idx="5">
                  <c:v>67.9889</c:v>
                </c:pt>
                <c:pt idx="6">
                  <c:v>76.619498</c:v>
                </c:pt>
                <c:pt idx="7">
                  <c:v>86.987525</c:v>
                </c:pt>
                <c:pt idx="8">
                  <c:v>96.346015</c:v>
                </c:pt>
                <c:pt idx="9">
                  <c:v>105.706384</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'[公报示例.xlsx]第六部分-建成区绿地面积'!$A$4:$A$13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[公报示例.xlsx]第四部分生活垃圾!$H$4:$H$13</c:f>
              <c:numCache>
                <c:formatCode>0.00%</c:formatCode>
                <c:ptCount val="10"/>
                <c:pt idx="0">
                  <c:v>0.0908024315663658</c:v>
                </c:pt>
                <c:pt idx="1">
                  <c:v>0.103148780553389</c:v>
                </c:pt>
                <c:pt idx="2">
                  <c:v>0.0835973999593744</c:v>
                </c:pt>
                <c:pt idx="3">
                  <c:v>0.0814295488841608</c:v>
                </c:pt>
                <c:pt idx="4">
                  <c:v>0.0770626839592716</c:v>
                </c:pt>
                <c:pt idx="5">
                  <c:v>0.0942108405715931</c:v>
                </c:pt>
                <c:pt idx="6">
                  <c:v>0.126941280120725</c:v>
                </c:pt>
                <c:pt idx="7">
                  <c:v>0.135318388538646</c:v>
                </c:pt>
                <c:pt idx="8">
                  <c:v>0.107584277170778</c:v>
                </c:pt>
                <c:pt idx="9">
                  <c:v>0.0971536705488028</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万吨</a:t>
                </a:r>
                <a:r>
                  <a:rPr lang="en-US" altLang="zh-CN"/>
                  <a:t>/</a:t>
                </a:r>
                <a:r>
                  <a:rPr altLang="en-US"/>
                  <a:t>日</a:t>
                </a:r>
                <a:endParaRPr lang="en-US" altLang="zh-CN"/>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56899890620503"/>
          <c:y val="0.1481526317609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1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2021</a:t>
            </a:r>
            <a:r>
              <a:rPr altLang="en-US" sz="11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年全国分省（区、市）和新疆兵团城市生活垃圾无害化处理能力</a:t>
            </a:r>
            <a:endParaRPr lang="en-US" altLang="zh-CN" sz="11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45234342749586"/>
          <c:y val="0.0108538350217077"/>
        </c:manualLayout>
      </c:layout>
      <c:overlay val="0"/>
      <c:spPr>
        <a:noFill/>
        <a:ln>
          <a:noFill/>
        </a:ln>
        <a:effectLst/>
      </c:spPr>
    </c:title>
    <c:autoTitleDeleted val="0"/>
    <c:plotArea>
      <c:layout>
        <c:manualLayout>
          <c:layoutTarget val="inner"/>
          <c:xMode val="edge"/>
          <c:yMode val="edge"/>
          <c:x val="0.0840539083557952"/>
          <c:y val="0.255746290369508"/>
          <c:w val="0.890501347708895"/>
          <c:h val="0.472912423625255"/>
        </c:manualLayout>
      </c:layout>
      <c:barChart>
        <c:barDir val="col"/>
        <c:grouping val="clustered"/>
        <c:varyColors val="0"/>
        <c:ser>
          <c:idx val="0"/>
          <c:order val="0"/>
          <c:tx>
            <c:strRef>
              <c:f>"城市生活垃圾无害化处理能力"</c:f>
              <c:strCache>
                <c:ptCount val="1"/>
                <c:pt idx="0">
                  <c:v>城市生活垃圾无害化处理能力</c:v>
                </c:pt>
              </c:strCache>
            </c:strRef>
          </c:tx>
          <c:spPr>
            <a:solidFill>
              <a:srgbClr val="C00000"/>
            </a:solidFill>
            <a:ln>
              <a:noFill/>
            </a:ln>
            <a:effectLst/>
          </c:spPr>
          <c:invertIfNegative val="0"/>
          <c:dLbls>
            <c:numFmt formatCode="#,##0.0_);[Red]\(#,##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[公报示例.xlsx]第四部分生活垃圾!$G$29:$G$60</c:f>
              <c:numCache>
                <c:formatCode>0.0_ </c:formatCode>
                <c:ptCount val="32"/>
                <c:pt idx="0">
                  <c:v>3.3861</c:v>
                </c:pt>
                <c:pt idx="1">
                  <c:v>1.975</c:v>
                </c:pt>
                <c:pt idx="2">
                  <c:v>4.27043</c:v>
                </c:pt>
                <c:pt idx="3">
                  <c:v>1.1611</c:v>
                </c:pt>
                <c:pt idx="4">
                  <c:v>1.324703</c:v>
                </c:pt>
                <c:pt idx="5">
                  <c:v>3.775961</c:v>
                </c:pt>
                <c:pt idx="6">
                  <c:v>2.1025</c:v>
                </c:pt>
                <c:pt idx="7">
                  <c:v>2.2629</c:v>
                </c:pt>
                <c:pt idx="8">
                  <c:v>3.388</c:v>
                </c:pt>
                <c:pt idx="9">
                  <c:v>8.3304</c:v>
                </c:pt>
                <c:pt idx="10">
                  <c:v>8.007814</c:v>
                </c:pt>
                <c:pt idx="11">
                  <c:v>3.595865</c:v>
                </c:pt>
                <c:pt idx="12">
                  <c:v>3.174566</c:v>
                </c:pt>
                <c:pt idx="13">
                  <c:v>2.224</c:v>
                </c:pt>
                <c:pt idx="14">
                  <c:v>7.3601</c:v>
                </c:pt>
                <c:pt idx="15">
                  <c:v>4.2213</c:v>
                </c:pt>
                <c:pt idx="16">
                  <c:v>3.614386</c:v>
                </c:pt>
                <c:pt idx="17">
                  <c:v>3.5346</c:v>
                </c:pt>
                <c:pt idx="18">
                  <c:v>17.6736</c:v>
                </c:pt>
                <c:pt idx="19">
                  <c:v>2.1724</c:v>
                </c:pt>
                <c:pt idx="20">
                  <c:v>1.0785</c:v>
                </c:pt>
                <c:pt idx="21">
                  <c:v>2.307</c:v>
                </c:pt>
                <c:pt idx="22">
                  <c:v>4.413294</c:v>
                </c:pt>
                <c:pt idx="23">
                  <c:v>2.1926</c:v>
                </c:pt>
                <c:pt idx="24">
                  <c:v>1.866035</c:v>
                </c:pt>
                <c:pt idx="25">
                  <c:v>0.2355</c:v>
                </c:pt>
                <c:pt idx="26">
                  <c:v>2.841754</c:v>
                </c:pt>
                <c:pt idx="27">
                  <c:v>1.0567</c:v>
                </c:pt>
                <c:pt idx="28">
                  <c:v>0.2296</c:v>
                </c:pt>
                <c:pt idx="29">
                  <c:v>0.541031</c:v>
                </c:pt>
                <c:pt idx="30">
                  <c:v>1.256645</c:v>
                </c:pt>
                <c:pt idx="31">
                  <c:v>0.132</c:v>
                </c:pt>
              </c:numCache>
            </c:numRef>
          </c:val>
        </c:ser>
        <c:dLbls>
          <c:showLegendKey val="0"/>
          <c:showVal val="1"/>
          <c:showCatName val="0"/>
          <c:showSerName val="0"/>
          <c:showPercent val="0"/>
          <c:showBubbleSize val="0"/>
        </c:dLbls>
        <c:gapWidth val="219"/>
        <c:overlap val="-27"/>
        <c:axId val="124274108"/>
        <c:axId val="339913684"/>
      </c:bar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max val="20"/>
          <c:min val="0"/>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万吨</a:t>
                </a: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a:t>
                </a:r>
                <a:r>
                  <a:rPr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日</a:t>
                </a:r>
                <a:endPar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5"/>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1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2021</a:t>
            </a:r>
            <a:r>
              <a:rPr altLang="en-US" sz="11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年全国分省（区、市）和新疆兵团城市生活垃圾焚烧处理能力占比</a:t>
            </a:r>
            <a:endParaRPr lang="en-US" altLang="zh-CN" sz="11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23961949582834"/>
          <c:y val="0.00912964090079124"/>
        </c:manualLayout>
      </c:layout>
      <c:overlay val="0"/>
      <c:spPr>
        <a:noFill/>
        <a:ln>
          <a:noFill/>
        </a:ln>
        <a:effectLst/>
      </c:spPr>
    </c:title>
    <c:autoTitleDeleted val="0"/>
    <c:plotArea>
      <c:layout>
        <c:manualLayout>
          <c:layoutTarget val="inner"/>
          <c:xMode val="edge"/>
          <c:yMode val="edge"/>
          <c:x val="0.0663719676549865"/>
          <c:y val="0.331684608670352"/>
          <c:w val="0.919504043126685"/>
          <c:h val="0.396974105324411"/>
        </c:manualLayout>
      </c:layout>
      <c:barChart>
        <c:barDir val="col"/>
        <c:grouping val="clustered"/>
        <c:varyColors val="0"/>
        <c:ser>
          <c:idx val="0"/>
          <c:order val="0"/>
          <c:tx>
            <c:strRef>
              <c:f>"焚烧处理能力占比"</c:f>
              <c:strCache>
                <c:ptCount val="1"/>
                <c:pt idx="0">
                  <c:v>焚烧处理能力占比</c:v>
                </c:pt>
              </c:strCache>
            </c:strRef>
          </c:tx>
          <c:spPr>
            <a:solidFill>
              <a:srgbClr val="C00000"/>
            </a:solidFill>
            <a:ln>
              <a:noFill/>
            </a:ln>
            <a:effectLst/>
          </c:spPr>
          <c:invertIfNegative val="0"/>
          <c:dLbls>
            <c:numFmt formatCode="#,##0.0_);[Red]\(#,##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[公报示例.xlsx]第四部分生活垃圾!$H$29:$H$60</c:f>
              <c:numCache>
                <c:formatCode>0.0_);[Red]\(0.0\)</c:formatCode>
                <c:ptCount val="32"/>
                <c:pt idx="0">
                  <c:v>50.0575883760078</c:v>
                </c:pt>
                <c:pt idx="1">
                  <c:v>92.1518987341772</c:v>
                </c:pt>
                <c:pt idx="2">
                  <c:v>72.0068002519653</c:v>
                </c:pt>
                <c:pt idx="3">
                  <c:v>50.2626819395401</c:v>
                </c:pt>
                <c:pt idx="4">
                  <c:v>34.347321626055</c:v>
                </c:pt>
                <c:pt idx="5">
                  <c:v>45.7658328568542</c:v>
                </c:pt>
                <c:pt idx="6">
                  <c:v>53.0321046373365</c:v>
                </c:pt>
                <c:pt idx="7">
                  <c:v>42.6090414954262</c:v>
                </c:pt>
                <c:pt idx="8">
                  <c:v>66.4108618654073</c:v>
                </c:pt>
                <c:pt idx="9">
                  <c:v>81.1005473926822</c:v>
                </c:pt>
                <c:pt idx="10">
                  <c:v>90.0247433319505</c:v>
                </c:pt>
                <c:pt idx="11">
                  <c:v>73.3064227939592</c:v>
                </c:pt>
                <c:pt idx="12">
                  <c:v>81.4560478503203</c:v>
                </c:pt>
                <c:pt idx="13">
                  <c:v>83.408273381295</c:v>
                </c:pt>
                <c:pt idx="14">
                  <c:v>75.2870205567859</c:v>
                </c:pt>
                <c:pt idx="15">
                  <c:v>66.5671712505626</c:v>
                </c:pt>
                <c:pt idx="16">
                  <c:v>55.0180583922138</c:v>
                </c:pt>
                <c:pt idx="17">
                  <c:v>50.5007638771007</c:v>
                </c:pt>
                <c:pt idx="18">
                  <c:v>69.4262459261271</c:v>
                </c:pt>
                <c:pt idx="19">
                  <c:v>63.9845332351317</c:v>
                </c:pt>
                <c:pt idx="20">
                  <c:v>90.727862772369</c:v>
                </c:pt>
                <c:pt idx="21">
                  <c:v>61.1183355006502</c:v>
                </c:pt>
                <c:pt idx="22">
                  <c:v>82.1316005686455</c:v>
                </c:pt>
                <c:pt idx="23">
                  <c:v>64.535254948463</c:v>
                </c:pt>
                <c:pt idx="24">
                  <c:v>74.581880832889</c:v>
                </c:pt>
                <c:pt idx="25">
                  <c:v>29.723991507431</c:v>
                </c:pt>
                <c:pt idx="26">
                  <c:v>40.6439121753677</c:v>
                </c:pt>
                <c:pt idx="27">
                  <c:v>53.9415160405035</c:v>
                </c:pt>
                <c:pt idx="28">
                  <c:v>0</c:v>
                </c:pt>
                <c:pt idx="29">
                  <c:v>46.3431855106269</c:v>
                </c:pt>
                <c:pt idx="30">
                  <c:v>41.7779086376821</c:v>
                </c:pt>
                <c:pt idx="31">
                  <c:v>37.8787878787879</c:v>
                </c:pt>
              </c:numCache>
            </c:numRef>
          </c:val>
        </c:ser>
        <c:dLbls>
          <c:showLegendKey val="0"/>
          <c:showVal val="1"/>
          <c:showCatName val="0"/>
          <c:showSerName val="0"/>
          <c:showPercent val="0"/>
          <c:showBubbleSize val="0"/>
        </c:dLbls>
        <c:gapWidth val="219"/>
        <c:overlap val="-27"/>
        <c:axId val="124274108"/>
        <c:axId val="339913684"/>
      </c:barChart>
      <c:lineChart>
        <c:grouping val="standard"/>
        <c:varyColors val="0"/>
        <c:ser>
          <c:idx val="1"/>
          <c:order val="1"/>
          <c:tx>
            <c:strRef>
              <c:f>"全国焚烧处理能力占比68.1%"</c:f>
              <c:strCache>
                <c:ptCount val="1"/>
                <c:pt idx="0">
                  <c:v>全国焚烧处理能力占比68.1%</c:v>
                </c:pt>
              </c:strCache>
            </c:strRef>
          </c:tx>
          <c:spPr>
            <a:ln w="15875" cap="rnd">
              <a:solidFill>
                <a:srgbClr val="002060"/>
              </a:solidFill>
              <a:prstDash val="dash"/>
              <a:round/>
            </a:ln>
            <a:effectLst/>
            <a:sp3d contourW="15875"/>
          </c:spPr>
          <c:marker>
            <c:symbol val="none"/>
          </c:marker>
          <c:dLbls>
            <c:delete val="1"/>
          </c:dLbls>
          <c:cat>
            <c:strRef>
              <c:f>'[公报示例.xlsx]第六部分-建成区绿地面积'!$A$31:$A$62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[公报示例.xlsx]第四部分生活垃圾!$I$28:$I$60</c:f>
              <c:numCache>
                <c:formatCode>General</c:formatCode>
                <c:ptCount val="33"/>
                <c:pt idx="1" c:formatCode="0.0_);[Red]\(0.0\)">
                  <c:v>68.1</c:v>
                </c:pt>
                <c:pt idx="2" c:formatCode="0.0_);[Red]\(0.0\)">
                  <c:v>68.1</c:v>
                </c:pt>
                <c:pt idx="3" c:formatCode="0.0_);[Red]\(0.0\)">
                  <c:v>68.1</c:v>
                </c:pt>
                <c:pt idx="4" c:formatCode="0.0_);[Red]\(0.0\)">
                  <c:v>68.1</c:v>
                </c:pt>
                <c:pt idx="5" c:formatCode="0.0_);[Red]\(0.0\)">
                  <c:v>68.1</c:v>
                </c:pt>
                <c:pt idx="6" c:formatCode="0.0_);[Red]\(0.0\)">
                  <c:v>68.1</c:v>
                </c:pt>
                <c:pt idx="7" c:formatCode="0.0_);[Red]\(0.0\)">
                  <c:v>68.1</c:v>
                </c:pt>
                <c:pt idx="8" c:formatCode="0.0_);[Red]\(0.0\)">
                  <c:v>68.1</c:v>
                </c:pt>
                <c:pt idx="9" c:formatCode="0.0_);[Red]\(0.0\)">
                  <c:v>68.1</c:v>
                </c:pt>
                <c:pt idx="10" c:formatCode="0.0_);[Red]\(0.0\)">
                  <c:v>68.1</c:v>
                </c:pt>
                <c:pt idx="11" c:formatCode="0.0_);[Red]\(0.0\)">
                  <c:v>68.1</c:v>
                </c:pt>
                <c:pt idx="12" c:formatCode="0.0_);[Red]\(0.0\)">
                  <c:v>68.1</c:v>
                </c:pt>
                <c:pt idx="13" c:formatCode="0.0_);[Red]\(0.0\)">
                  <c:v>68.1</c:v>
                </c:pt>
                <c:pt idx="14" c:formatCode="0.0_);[Red]\(0.0\)">
                  <c:v>68.1</c:v>
                </c:pt>
                <c:pt idx="15" c:formatCode="0.0_);[Red]\(0.0\)">
                  <c:v>68.1</c:v>
                </c:pt>
                <c:pt idx="16" c:formatCode="0.0_);[Red]\(0.0\)">
                  <c:v>68.1</c:v>
                </c:pt>
                <c:pt idx="17" c:formatCode="0.0_);[Red]\(0.0\)">
                  <c:v>68.1</c:v>
                </c:pt>
                <c:pt idx="18" c:formatCode="0.0_);[Red]\(0.0\)">
                  <c:v>68.1</c:v>
                </c:pt>
                <c:pt idx="19" c:formatCode="0.0_);[Red]\(0.0\)">
                  <c:v>68.1</c:v>
                </c:pt>
                <c:pt idx="20" c:formatCode="0.0_);[Red]\(0.0\)">
                  <c:v>68.1</c:v>
                </c:pt>
                <c:pt idx="21" c:formatCode="0.0_);[Red]\(0.0\)">
                  <c:v>68.1</c:v>
                </c:pt>
                <c:pt idx="22" c:formatCode="0.0_);[Red]\(0.0\)">
                  <c:v>68.1</c:v>
                </c:pt>
                <c:pt idx="23" c:formatCode="0.0_);[Red]\(0.0\)">
                  <c:v>68.1</c:v>
                </c:pt>
                <c:pt idx="24" c:formatCode="0.0_);[Red]\(0.0\)">
                  <c:v>68.1</c:v>
                </c:pt>
                <c:pt idx="25" c:formatCode="0.0_);[Red]\(0.0\)">
                  <c:v>68.1</c:v>
                </c:pt>
                <c:pt idx="26" c:formatCode="0.0_);[Red]\(0.0\)">
                  <c:v>68.1</c:v>
                </c:pt>
                <c:pt idx="27" c:formatCode="0.0_);[Red]\(0.0\)">
                  <c:v>68.1</c:v>
                </c:pt>
                <c:pt idx="28" c:formatCode="0.0_);[Red]\(0.0\)">
                  <c:v>68.1</c:v>
                </c:pt>
                <c:pt idx="29" c:formatCode="0.0_);[Red]\(0.0\)">
                  <c:v>68.1</c:v>
                </c:pt>
                <c:pt idx="30" c:formatCode="0.0_);[Red]\(0.0\)">
                  <c:v>68.1</c:v>
                </c:pt>
                <c:pt idx="31" c:formatCode="0.0_);[Red]\(0.0\)">
                  <c:v>68.1</c:v>
                </c:pt>
                <c:pt idx="32" c:formatCode="0.0_);[Red]\(0.0\)">
                  <c:v>68.1</c:v>
                </c:pt>
              </c:numCache>
            </c:numRef>
          </c:val>
          <c:smooth val="0"/>
        </c:ser>
        <c:dLbls>
          <c:showLegendKey val="0"/>
          <c:showVal val="0"/>
          <c:showCatName val="0"/>
          <c:showSerName val="0"/>
          <c:showPercent val="0"/>
          <c:showBubbleSize val="0"/>
        </c:dLbls>
        <c:marker val="0"/>
        <c:smooth val="0"/>
        <c:axId val="528172304"/>
        <c:axId val="113708956"/>
      </c:line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max val="100"/>
          <c:min val="0"/>
        </c:scaling>
        <c:delete val="0"/>
        <c:axPos val="l"/>
        <c:title>
          <c:tx>
            <c:rich>
              <a:bodyPr rot="0" spcFirstLastPara="0" vertOverflow="ellipsis" vert="horz"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t>%</a:t>
                </a:r>
                <a:endParaRPr lang="en-US" altLang="zh-CN"/>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20"/>
      </c:valAx>
      <c:catAx>
        <c:axId val="52817230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13708956"/>
        <c:crosses val="autoZero"/>
        <c:auto val="1"/>
        <c:lblAlgn val="ctr"/>
        <c:lblOffset val="100"/>
        <c:noMultiLvlLbl val="0"/>
      </c:catAx>
      <c:valAx>
        <c:axId val="113708956"/>
        <c:scaling>
          <c:orientation val="minMax"/>
          <c:max val="0.48"/>
          <c:min val="0.3"/>
        </c:scaling>
        <c:delete val="1"/>
        <c:axPos val="r"/>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28172304"/>
        <c:crosses val="max"/>
        <c:crossBetween val="between"/>
        <c:majorUnit val="0.06"/>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0270802378993"/>
          <c:y val="0.13400919167097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年城市已建成和在建轨道交通长度及同比变化</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78310284914377"/>
          <c:y val="0.0553595168146531"/>
        </c:manualLayout>
      </c:layout>
      <c:overlay val="0"/>
      <c:spPr>
        <a:noFill/>
        <a:ln>
          <a:noFill/>
        </a:ln>
        <a:effectLst/>
      </c:spPr>
    </c:title>
    <c:autoTitleDeleted val="0"/>
    <c:plotArea>
      <c:layout>
        <c:manualLayout>
          <c:layoutTarget val="inner"/>
          <c:xMode val="edge"/>
          <c:yMode val="edge"/>
          <c:x val="0.110821884791516"/>
          <c:y val="0.436591041303083"/>
          <c:w val="0.813906965533864"/>
          <c:h val="0.44368819080861"/>
        </c:manualLayout>
      </c:layout>
      <c:barChart>
        <c:barDir val="col"/>
        <c:grouping val="clustered"/>
        <c:varyColors val="0"/>
        <c:ser>
          <c:idx val="0"/>
          <c:order val="0"/>
          <c:tx>
            <c:strRef>
              <c:f>"已建成长度"</c:f>
              <c:strCache>
                <c:ptCount val="1"/>
                <c:pt idx="0">
                  <c:v>已建成长度</c:v>
                </c:pt>
              </c:strCache>
            </c:strRef>
          </c:tx>
          <c:spPr>
            <a:solidFill>
              <a:srgbClr val="C00000"/>
            </a:solidFill>
            <a:ln>
              <a:noFill/>
            </a:ln>
            <a:effectLst/>
          </c:spPr>
          <c:invertIfNegative val="0"/>
          <c:dLbls>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'[公报示例.xlsx]第五部分-轨道交通'!$A$4:$A$13</c:f>
              <c:strCache>
                <c:ptCount val="10"/>
                <c:pt idx="0" c:formatCode="@">
                  <c:v>2012</c:v>
                </c:pt>
                <c:pt idx="1" c:formatCode="@">
                  <c:v>2013</c:v>
                </c:pt>
                <c:pt idx="2" c:formatCode="@">
                  <c:v>2014</c:v>
                </c:pt>
                <c:pt idx="3" c:formatCode="@">
                  <c:v>2015</c:v>
                </c:pt>
                <c:pt idx="4" c:formatCode="@">
                  <c:v>2016</c:v>
                </c:pt>
                <c:pt idx="5" c:formatCode="@">
                  <c:v>2017</c:v>
                </c:pt>
                <c:pt idx="6" c:formatCode="@">
                  <c:v>2018</c:v>
                </c:pt>
                <c:pt idx="7" c:formatCode="@">
                  <c:v>2019</c:v>
                </c:pt>
                <c:pt idx="8" c:formatCode="@">
                  <c:v>2020</c:v>
                </c:pt>
                <c:pt idx="9" c:formatCode="@">
                  <c:v>2021</c:v>
                </c:pt>
              </c:strCache>
            </c:strRef>
          </c:cat>
          <c:val>
            <c:numRef>
              <c:f>'[公报示例.xlsx]第五部分-轨道交通'!$B$4:$B$13</c:f>
              <c:numCache>
                <c:formatCode>0.00_);[Red]\(0.00\)</c:formatCode>
                <c:ptCount val="10"/>
                <c:pt idx="0">
                  <c:v>2005.53</c:v>
                </c:pt>
                <c:pt idx="1">
                  <c:v>2213.28</c:v>
                </c:pt>
                <c:pt idx="2">
                  <c:v>2714.79</c:v>
                </c:pt>
                <c:pt idx="3">
                  <c:v>3069.23</c:v>
                </c:pt>
                <c:pt idx="4">
                  <c:v>3586.34</c:v>
                </c:pt>
                <c:pt idx="5">
                  <c:v>4594.26</c:v>
                </c:pt>
                <c:pt idx="6">
                  <c:v>5141.05</c:v>
                </c:pt>
                <c:pt idx="7">
                  <c:v>6058.9</c:v>
                </c:pt>
                <c:pt idx="8">
                  <c:v>7597.94</c:v>
                </c:pt>
                <c:pt idx="9">
                  <c:v>8571.43</c:v>
                </c:pt>
              </c:numCache>
            </c:numRef>
          </c:val>
        </c:ser>
        <c:ser>
          <c:idx val="1"/>
          <c:order val="1"/>
          <c:tx>
            <c:strRef>
              <c:f>"在建长度"</c:f>
              <c:strCache>
                <c:ptCount val="1"/>
                <c:pt idx="0">
                  <c:v>在建长度</c:v>
                </c:pt>
              </c:strCache>
            </c:strRef>
          </c:tx>
          <c:spPr>
            <a:solidFill>
              <a:srgbClr val="002060"/>
            </a:solidFill>
            <a:ln>
              <a:noFill/>
            </a:ln>
            <a:effectLst/>
          </c:spPr>
          <c:invertIfNegative val="0"/>
          <c:dLbls>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'[公报示例.xlsx]第五部分-轨道交通'!$A$4:$A$13</c:f>
              <c:strCache>
                <c:ptCount val="10"/>
                <c:pt idx="0" c:formatCode="@">
                  <c:v>2012</c:v>
                </c:pt>
                <c:pt idx="1" c:formatCode="@">
                  <c:v>2013</c:v>
                </c:pt>
                <c:pt idx="2" c:formatCode="@">
                  <c:v>2014</c:v>
                </c:pt>
                <c:pt idx="3" c:formatCode="@">
                  <c:v>2015</c:v>
                </c:pt>
                <c:pt idx="4" c:formatCode="@">
                  <c:v>2016</c:v>
                </c:pt>
                <c:pt idx="5" c:formatCode="@">
                  <c:v>2017</c:v>
                </c:pt>
                <c:pt idx="6" c:formatCode="@">
                  <c:v>2018</c:v>
                </c:pt>
                <c:pt idx="7" c:formatCode="@">
                  <c:v>2019</c:v>
                </c:pt>
                <c:pt idx="8" c:formatCode="@">
                  <c:v>2020</c:v>
                </c:pt>
                <c:pt idx="9" c:formatCode="@">
                  <c:v>2021</c:v>
                </c:pt>
              </c:strCache>
            </c:strRef>
          </c:cat>
          <c:val>
            <c:numRef>
              <c:f>'[公报示例.xlsx]第五部分-轨道交通'!$C$4:$C$13</c:f>
              <c:numCache>
                <c:formatCode>0.00_ </c:formatCode>
                <c:ptCount val="10"/>
                <c:pt idx="0">
                  <c:v>2060.43</c:v>
                </c:pt>
                <c:pt idx="1">
                  <c:v>2760.38</c:v>
                </c:pt>
                <c:pt idx="2">
                  <c:v>3004.37</c:v>
                </c:pt>
                <c:pt idx="3">
                  <c:v>3994.15</c:v>
                </c:pt>
                <c:pt idx="4">
                  <c:v>4870.18</c:v>
                </c:pt>
                <c:pt idx="5">
                  <c:v>4913.56</c:v>
                </c:pt>
                <c:pt idx="6">
                  <c:v>5400.25</c:v>
                </c:pt>
                <c:pt idx="7">
                  <c:v>5594.08</c:v>
                </c:pt>
                <c:pt idx="8">
                  <c:v>5093.55</c:v>
                </c:pt>
                <c:pt idx="9">
                  <c:v>5172.3</c:v>
                </c:pt>
              </c:numCache>
            </c:numRef>
          </c:val>
        </c:ser>
        <c:dLbls>
          <c:showLegendKey val="0"/>
          <c:showVal val="1"/>
          <c:showCatName val="0"/>
          <c:showSerName val="0"/>
          <c:showPercent val="0"/>
          <c:showBubbleSize val="0"/>
        </c:dLbls>
        <c:gapWidth val="219"/>
        <c:overlap val="-27"/>
        <c:axId val="229917756"/>
        <c:axId val="295887690"/>
      </c:barChart>
      <c:lineChart>
        <c:grouping val="standard"/>
        <c:varyColors val="0"/>
        <c:ser>
          <c:idx val="2"/>
          <c:order val="2"/>
          <c:tx>
            <c:strRef>
              <c:f>"已建成同比"</c:f>
              <c:strCache>
                <c:ptCount val="1"/>
                <c:pt idx="0">
                  <c:v>已建成同比</c:v>
                </c:pt>
              </c:strCache>
            </c:strRef>
          </c:tx>
          <c:spPr>
            <a:ln w="28575" cap="rnd">
              <a:solidFill>
                <a:srgbClr val="C00000"/>
              </a:solidFill>
              <a:round/>
            </a:ln>
            <a:effectLst/>
          </c:spPr>
          <c:marker>
            <c:symbol val="circle"/>
            <c:size val="5"/>
            <c:spPr>
              <a:solidFill>
                <a:schemeClr val="bg1"/>
              </a:solidFill>
              <a:ln w="9525">
                <a:solidFill>
                  <a:srgbClr val="C00000"/>
                </a:solidFill>
              </a:ln>
              <a:effectLst/>
            </c:spPr>
          </c:marker>
          <c:dLbls>
            <c:delete val="1"/>
          </c:dLbls>
          <c:cat>
            <c:strRef>
              <c:f>'[公报示例.xlsx]第五部分-轨道交通'!$A$4:$A$13</c:f>
              <c:strCache>
                <c:ptCount val="10"/>
                <c:pt idx="0" c:formatCode="@">
                  <c:v>2012</c:v>
                </c:pt>
                <c:pt idx="1" c:formatCode="@">
                  <c:v>2013</c:v>
                </c:pt>
                <c:pt idx="2" c:formatCode="@">
                  <c:v>2014</c:v>
                </c:pt>
                <c:pt idx="3" c:formatCode="@">
                  <c:v>2015</c:v>
                </c:pt>
                <c:pt idx="4" c:formatCode="@">
                  <c:v>2016</c:v>
                </c:pt>
                <c:pt idx="5" c:formatCode="@">
                  <c:v>2017</c:v>
                </c:pt>
                <c:pt idx="6" c:formatCode="@">
                  <c:v>2018</c:v>
                </c:pt>
                <c:pt idx="7" c:formatCode="@">
                  <c:v>2019</c:v>
                </c:pt>
                <c:pt idx="8" c:formatCode="@">
                  <c:v>2020</c:v>
                </c:pt>
                <c:pt idx="9" c:formatCode="@">
                  <c:v>2021</c:v>
                </c:pt>
              </c:strCache>
            </c:strRef>
          </c:cat>
          <c:val>
            <c:numRef>
              <c:f>'[公报示例.xlsx]第五部分-轨道交通'!$D$4:$D$13</c:f>
              <c:numCache>
                <c:formatCode>0.00%</c:formatCode>
                <c:ptCount val="10"/>
                <c:pt idx="0">
                  <c:v>0.199178436038794</c:v>
                </c:pt>
                <c:pt idx="1">
                  <c:v>0.103588577582983</c:v>
                </c:pt>
                <c:pt idx="2">
                  <c:v>0.226591303404901</c:v>
                </c:pt>
                <c:pt idx="3">
                  <c:v>0.130558901425156</c:v>
                </c:pt>
                <c:pt idx="4">
                  <c:v>0.168481997113282</c:v>
                </c:pt>
                <c:pt idx="5">
                  <c:v>0.28104418432162</c:v>
                </c:pt>
                <c:pt idx="6">
                  <c:v>0.11901590245219</c:v>
                </c:pt>
                <c:pt idx="7">
                  <c:v>0.178533568045438</c:v>
                </c:pt>
                <c:pt idx="8">
                  <c:v>0.25401310468897</c:v>
                </c:pt>
                <c:pt idx="9">
                  <c:v>0.128125518232574</c:v>
                </c:pt>
              </c:numCache>
            </c:numRef>
          </c:val>
          <c:smooth val="0"/>
        </c:ser>
        <c:ser>
          <c:idx val="3"/>
          <c:order val="3"/>
          <c:tx>
            <c:strRef>
              <c:f>"在建同比"</c:f>
              <c:strCache>
                <c:ptCount val="1"/>
                <c:pt idx="0">
                  <c:v>在建同比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strRef>
              <c:f>'[公报示例.xlsx]第五部分-轨道交通'!$A$4:$A$13</c:f>
              <c:strCache>
                <c:ptCount val="10"/>
                <c:pt idx="0" c:formatCode="@">
                  <c:v>2012</c:v>
                </c:pt>
                <c:pt idx="1" c:formatCode="@">
                  <c:v>2013</c:v>
                </c:pt>
                <c:pt idx="2" c:formatCode="@">
                  <c:v>2014</c:v>
                </c:pt>
                <c:pt idx="3" c:formatCode="@">
                  <c:v>2015</c:v>
                </c:pt>
                <c:pt idx="4" c:formatCode="@">
                  <c:v>2016</c:v>
                </c:pt>
                <c:pt idx="5" c:formatCode="@">
                  <c:v>2017</c:v>
                </c:pt>
                <c:pt idx="6" c:formatCode="@">
                  <c:v>2018</c:v>
                </c:pt>
                <c:pt idx="7" c:formatCode="@">
                  <c:v>2019</c:v>
                </c:pt>
                <c:pt idx="8" c:formatCode="@">
                  <c:v>2020</c:v>
                </c:pt>
                <c:pt idx="9" c:formatCode="@">
                  <c:v>2021</c:v>
                </c:pt>
              </c:strCache>
            </c:strRef>
          </c:cat>
          <c:val>
            <c:numRef>
              <c:f>'[公报示例.xlsx]第五部分-轨道交通'!$E$4:$E$13</c:f>
              <c:numCache>
                <c:formatCode>0.00%</c:formatCode>
                <c:ptCount val="10"/>
                <c:pt idx="0">
                  <c:v>0.0894310232698317</c:v>
                </c:pt>
                <c:pt idx="1">
                  <c:v>0.33971064292405</c:v>
                </c:pt>
                <c:pt idx="2">
                  <c:v>0.0883900042747736</c:v>
                </c:pt>
                <c:pt idx="3">
                  <c:v>0.329446772534675</c:v>
                </c:pt>
                <c:pt idx="4">
                  <c:v>0.219328267591352</c:v>
                </c:pt>
                <c:pt idx="5">
                  <c:v>0.00890726831451816</c:v>
                </c:pt>
                <c:pt idx="6">
                  <c:v>0.0990503830216787</c:v>
                </c:pt>
                <c:pt idx="7">
                  <c:v>0.0358927827415396</c:v>
                </c:pt>
                <c:pt idx="8">
                  <c:v>-0.0894749449417958</c:v>
                </c:pt>
                <c:pt idx="9" c:formatCode="0.0%">
                  <c:v>0.015460729746444</c:v>
                </c:pt>
              </c:numCache>
            </c:numRef>
          </c:val>
          <c:smooth val="0"/>
        </c:ser>
        <c:dLbls>
          <c:showLegendKey val="0"/>
          <c:showVal val="0"/>
          <c:showCatName val="0"/>
          <c:showSerName val="0"/>
          <c:showPercent val="0"/>
          <c:showBubbleSize val="0"/>
        </c:dLbls>
        <c:marker val="1"/>
        <c:smooth val="0"/>
        <c:axId val="881448069"/>
        <c:axId val="311120169"/>
      </c:lineChart>
      <c:catAx>
        <c:axId val="229917756"/>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295887690"/>
        <c:crosses val="autoZero"/>
        <c:auto val="1"/>
        <c:lblAlgn val="ctr"/>
        <c:lblOffset val="100"/>
        <c:noMultiLvlLbl val="0"/>
      </c:catAx>
      <c:valAx>
        <c:axId val="295887690"/>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公里</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229917756"/>
        <c:crosses val="autoZero"/>
        <c:crossBetween val="between"/>
      </c:valAx>
      <c:catAx>
        <c:axId val="881448069"/>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11120169"/>
        <c:crosses val="autoZero"/>
        <c:auto val="1"/>
        <c:lblAlgn val="ctr"/>
        <c:lblOffset val="100"/>
        <c:noMultiLvlLbl val="0"/>
      </c:catAx>
      <c:valAx>
        <c:axId val="311120169"/>
        <c:scaling>
          <c:orientation val="minMax"/>
        </c:scaling>
        <c:delete val="0"/>
        <c:axPos val="r"/>
        <c:numFmt formatCode="0%" sourceLinked="0"/>
        <c:majorTickMark val="in"/>
        <c:minorTickMark val="none"/>
        <c:tickLblPos val="nextTo"/>
        <c:spPr>
          <a:noFill/>
          <a:ln>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48069"/>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04522072581623"/>
          <c:y val="0.20768025078369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2021</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年全国分省（区、市）和新疆兵团城市已建成轨道交通长度</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25089088647882"/>
          <c:y val="0.00895522388059702"/>
        </c:manualLayout>
      </c:layout>
      <c:overlay val="0"/>
      <c:spPr>
        <a:noFill/>
        <a:ln>
          <a:noFill/>
        </a:ln>
        <a:effectLst/>
      </c:spPr>
    </c:title>
    <c:autoTitleDeleted val="0"/>
    <c:plotArea>
      <c:layout>
        <c:manualLayout>
          <c:layoutTarget val="inner"/>
          <c:xMode val="edge"/>
          <c:yMode val="edge"/>
          <c:x val="0.0991049633848657"/>
          <c:y val="0.306865671641791"/>
          <c:w val="0.875322561897013"/>
          <c:h val="0.370268656716418"/>
        </c:manualLayout>
      </c:layout>
      <c:barChart>
        <c:barDir val="col"/>
        <c:grouping val="clustered"/>
        <c:varyColors val="0"/>
        <c:ser>
          <c:idx val="0"/>
          <c:order val="0"/>
          <c:tx>
            <c:strRef>
              <c:f>"已建成长度"</c:f>
              <c:strCache>
                <c:ptCount val="1"/>
                <c:pt idx="0">
                  <c:v>已建成长度</c:v>
                </c:pt>
              </c:strCache>
            </c:strRef>
          </c:tx>
          <c:spPr>
            <a:solidFill>
              <a:srgbClr val="C00000"/>
            </a:solidFill>
            <a:ln>
              <a:noFill/>
            </a:ln>
            <a:effectLst/>
          </c:spPr>
          <c:invertIfNegative val="0"/>
          <c:dLbls>
            <c:numFmt formatCode="0.0_);[Red]\(0.0\)" sourceLinked="0"/>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'[公报示例.xlsx]第五部分-轨道交通'!$B$21:$B$52</c:f>
              <c:numCache>
                <c:formatCode>0.00_);[Red]\(0.00\)</c:formatCode>
                <c:ptCount val="32"/>
                <c:pt idx="0">
                  <c:v>825.73</c:v>
                </c:pt>
                <c:pt idx="1">
                  <c:v>272.64</c:v>
                </c:pt>
                <c:pt idx="2">
                  <c:v>79.4</c:v>
                </c:pt>
                <c:pt idx="3">
                  <c:v>23.65</c:v>
                </c:pt>
                <c:pt idx="4">
                  <c:v>49.03</c:v>
                </c:pt>
                <c:pt idx="5">
                  <c:v>379.57</c:v>
                </c:pt>
                <c:pt idx="6">
                  <c:v>108.71</c:v>
                </c:pt>
                <c:pt idx="7">
                  <c:v>60.53</c:v>
                </c:pt>
                <c:pt idx="8">
                  <c:v>832</c:v>
                </c:pt>
                <c:pt idx="9">
                  <c:v>972.62</c:v>
                </c:pt>
                <c:pt idx="10">
                  <c:v>606.86</c:v>
                </c:pt>
                <c:pt idx="11">
                  <c:v>199.85</c:v>
                </c:pt>
                <c:pt idx="12">
                  <c:v>131.86</c:v>
                </c:pt>
                <c:pt idx="13">
                  <c:v>128.31</c:v>
                </c:pt>
                <c:pt idx="14">
                  <c:v>338.99</c:v>
                </c:pt>
                <c:pt idx="15">
                  <c:v>206.4</c:v>
                </c:pt>
                <c:pt idx="16">
                  <c:v>482.12</c:v>
                </c:pt>
                <c:pt idx="17">
                  <c:v>190.82</c:v>
                </c:pt>
                <c:pt idx="18">
                  <c:v>1081.28</c:v>
                </c:pt>
                <c:pt idx="19">
                  <c:v>128.44</c:v>
                </c:pt>
                <c:pt idx="20">
                  <c:v>8.37</c:v>
                </c:pt>
                <c:pt idx="21">
                  <c:v>334.08</c:v>
                </c:pt>
                <c:pt idx="22">
                  <c:v>582.9</c:v>
                </c:pt>
                <c:pt idx="23">
                  <c:v>75.71</c:v>
                </c:pt>
                <c:pt idx="24">
                  <c:v>152.86</c:v>
                </c:pt>
                <c:pt idx="26">
                  <c:v>252.24</c:v>
                </c:pt>
                <c:pt idx="27">
                  <c:v>38.84</c:v>
                </c:pt>
                <c:pt idx="30">
                  <c:v>27.62</c:v>
                </c:pt>
              </c:numCache>
            </c:numRef>
          </c:val>
        </c:ser>
        <c:dLbls>
          <c:showLegendKey val="0"/>
          <c:showVal val="1"/>
          <c:showCatName val="0"/>
          <c:showSerName val="0"/>
          <c:showPercent val="0"/>
          <c:showBubbleSize val="0"/>
        </c:dLbls>
        <c:gapWidth val="100"/>
        <c:overlap val="-39"/>
        <c:axId val="124274108"/>
        <c:axId val="339913684"/>
      </c:bar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mn-lt"/>
                <a:ea typeface="+mn-ea"/>
                <a:cs typeface="+mn-cs"/>
              </a:defRPr>
            </a:pPr>
          </a:p>
        </c:txPr>
        <c:crossAx val="339913684"/>
        <c:crosses val="autoZero"/>
        <c:auto val="1"/>
        <c:lblAlgn val="ctr"/>
        <c:lblOffset val="100"/>
        <c:noMultiLvlLbl val="0"/>
      </c:catAx>
      <c:valAx>
        <c:axId val="339913684"/>
        <c:scaling>
          <c:orientation val="minMax"/>
        </c:scaling>
        <c:delete val="0"/>
        <c:axPos val="l"/>
        <c:title>
          <c:tx>
            <c:rich>
              <a:bodyPr rot="0" spcFirstLastPara="0" vertOverflow="ellipsis" vert="mongolianVert" wrap="square" anchor="ctr" anchorCtr="1"/>
              <a:lstStyle/>
              <a:p>
                <a:pPr defTabSz="914400">
                  <a:defRPr lang="zh-CN" sz="1000" b="0" i="0" u="none" strike="noStrike" kern="1200" baseline="0">
                    <a:solidFill>
                      <a:sysClr val="windowText" lastClr="000000"/>
                    </a:solidFill>
                    <a:latin typeface="+mn-lt"/>
                    <a:ea typeface="+mn-ea"/>
                    <a:cs typeface="+mn-cs"/>
                  </a:defRPr>
                </a:pPr>
                <a:r>
                  <a:t>公里</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300"/>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2021</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年全国分省（区、市）和新疆兵团城市在建轨道交通长度</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3455588119193"/>
          <c:y val="0.0601933793998034"/>
        </c:manualLayout>
      </c:layout>
      <c:overlay val="0"/>
      <c:spPr>
        <a:noFill/>
        <a:ln>
          <a:noFill/>
        </a:ln>
        <a:effectLst/>
      </c:spPr>
    </c:title>
    <c:autoTitleDeleted val="0"/>
    <c:plotArea>
      <c:layout>
        <c:manualLayout>
          <c:layoutTarget val="inner"/>
          <c:xMode val="edge"/>
          <c:yMode val="edge"/>
          <c:x val="0.0976073268460218"/>
          <c:y val="0.339498018494055"/>
          <c:w val="0.876863194046938"/>
          <c:h val="0.358124174372523"/>
        </c:manualLayout>
      </c:layout>
      <c:barChart>
        <c:barDir val="col"/>
        <c:grouping val="clustered"/>
        <c:varyColors val="0"/>
        <c:ser>
          <c:idx val="1"/>
          <c:order val="0"/>
          <c:tx>
            <c:strRef>
              <c:f>"在建长度"</c:f>
              <c:strCache>
                <c:ptCount val="1"/>
                <c:pt idx="0">
                  <c:v>在建长度</c:v>
                </c:pt>
              </c:strCache>
            </c:strRef>
          </c:tx>
          <c:spPr>
            <a:solidFill>
              <a:srgbClr val="002060"/>
            </a:solidFill>
            <a:ln>
              <a:noFill/>
            </a:ln>
            <a:effectLst/>
          </c:spPr>
          <c:invertIfNegative val="0"/>
          <c:dLbls>
            <c:numFmt formatCode="0.0_);[Red]\(0.0\)" sourceLinked="0"/>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'[公报示例.xlsx]第六部分-建成区绿地面积'!$A$31:$A$62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'[公报示例.xlsx]第五部分-轨道交通'!$C$21:$C$52</c:f>
              <c:numCache>
                <c:formatCode>0.00_ </c:formatCode>
                <c:ptCount val="32"/>
                <c:pt idx="0">
                  <c:v>288.48</c:v>
                </c:pt>
                <c:pt idx="1">
                  <c:v>231.96</c:v>
                </c:pt>
                <c:pt idx="3">
                  <c:v>28.74</c:v>
                </c:pt>
                <c:pt idx="5">
                  <c:v>225.39</c:v>
                </c:pt>
                <c:pt idx="6">
                  <c:v>117.78</c:v>
                </c:pt>
                <c:pt idx="7">
                  <c:v>32.18</c:v>
                </c:pt>
                <c:pt idx="8">
                  <c:v>104.76</c:v>
                </c:pt>
                <c:pt idx="9">
                  <c:v>522.21</c:v>
                </c:pt>
                <c:pt idx="10">
                  <c:v>553.11</c:v>
                </c:pt>
                <c:pt idx="11">
                  <c:v>177.96</c:v>
                </c:pt>
                <c:pt idx="12">
                  <c:v>280.14</c:v>
                </c:pt>
                <c:pt idx="13">
                  <c:v>31.75</c:v>
                </c:pt>
                <c:pt idx="14">
                  <c:v>267.91</c:v>
                </c:pt>
                <c:pt idx="15">
                  <c:v>256.31</c:v>
                </c:pt>
                <c:pt idx="16">
                  <c:v>183.42</c:v>
                </c:pt>
                <c:pt idx="17">
                  <c:v>127.65</c:v>
                </c:pt>
                <c:pt idx="18">
                  <c:v>765.19</c:v>
                </c:pt>
                <c:pt idx="19">
                  <c:v>3.9</c:v>
                </c:pt>
                <c:pt idx="21">
                  <c:v>392.29</c:v>
                </c:pt>
                <c:pt idx="22">
                  <c:v>237</c:v>
                </c:pt>
                <c:pt idx="23">
                  <c:v>73.35</c:v>
                </c:pt>
                <c:pt idx="24">
                  <c:v>46.79</c:v>
                </c:pt>
                <c:pt idx="26">
                  <c:v>155.63</c:v>
                </c:pt>
                <c:pt idx="27">
                  <c:v>9.06</c:v>
                </c:pt>
                <c:pt idx="30">
                  <c:v>59.34</c:v>
                </c:pt>
              </c:numCache>
            </c:numRef>
          </c:val>
        </c:ser>
        <c:dLbls>
          <c:showLegendKey val="0"/>
          <c:showVal val="1"/>
          <c:showCatName val="0"/>
          <c:showSerName val="0"/>
          <c:showPercent val="0"/>
          <c:showBubbleSize val="0"/>
        </c:dLbls>
        <c:gapWidth val="100"/>
        <c:overlap val="-39"/>
        <c:axId val="124274108"/>
        <c:axId val="339913684"/>
      </c:bar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mn-lt"/>
                <a:ea typeface="+mn-ea"/>
                <a:cs typeface="+mn-cs"/>
              </a:defRPr>
            </a:pPr>
          </a:p>
        </c:txPr>
        <c:crossAx val="339913684"/>
        <c:crosses val="autoZero"/>
        <c:auto val="1"/>
        <c:lblAlgn val="ctr"/>
        <c:lblOffset val="100"/>
        <c:noMultiLvlLbl val="0"/>
      </c:catAx>
      <c:valAx>
        <c:axId val="339913684"/>
        <c:scaling>
          <c:orientation val="minMax"/>
        </c:scaling>
        <c:delete val="0"/>
        <c:axPos val="l"/>
        <c:title>
          <c:tx>
            <c:rich>
              <a:bodyPr rot="0" spcFirstLastPara="0" vertOverflow="ellipsis" vert="mongolianVert" wrap="square" anchor="ctr" anchorCtr="1"/>
              <a:lstStyle/>
              <a:p>
                <a:pPr defTabSz="914400">
                  <a:defRPr lang="zh-CN" sz="1000" b="0" i="0" u="none" strike="noStrike" kern="1200" baseline="0">
                    <a:solidFill>
                      <a:sysClr val="windowText" lastClr="000000"/>
                    </a:solidFill>
                    <a:latin typeface="+mn-lt"/>
                    <a:ea typeface="+mn-ea"/>
                    <a:cs typeface="+mn-cs"/>
                  </a:defRPr>
                </a:pPr>
                <a:r>
                  <a:t>公里</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300"/>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mn-lt"/>
                <a:ea typeface="+mn-ea"/>
                <a:cs typeface="+mn-cs"/>
              </a:defRPr>
            </a:pPr>
            <a:r>
              <a:rPr lang="en-US" altLang="zh-CN" sz="1200">
                <a:solidFill>
                  <a:sysClr val="windowText" lastClr="000000"/>
                </a:solidFill>
                <a:latin typeface="Times New Roman" panose="02020603050405020304" charset="0"/>
                <a:cs typeface="Times New Roman" panose="02020603050405020304" charset="0"/>
              </a:rPr>
              <a:t>2021</a:t>
            </a:r>
            <a:r>
              <a:rPr altLang="en-US" sz="1200">
                <a:solidFill>
                  <a:sysClr val="windowText" lastClr="000000"/>
                </a:solidFill>
              </a:rPr>
              <a:t>年全国分省（区、市）和新疆兵团城市城区人口</a:t>
            </a:r>
            <a:endParaRPr altLang="en-US" sz="1200">
              <a:solidFill>
                <a:sysClr val="windowText" lastClr="000000"/>
              </a:solidFill>
            </a:endParaRPr>
          </a:p>
        </c:rich>
      </c:tx>
      <c:layout>
        <c:manualLayout>
          <c:xMode val="edge"/>
          <c:yMode val="edge"/>
          <c:x val="0.182212592621605"/>
          <c:y val="0.00888362451880367"/>
        </c:manualLayout>
      </c:layout>
      <c:overlay val="0"/>
      <c:spPr>
        <a:noFill/>
        <a:ln>
          <a:noFill/>
        </a:ln>
        <a:effectLst/>
      </c:spPr>
    </c:title>
    <c:autoTitleDeleted val="0"/>
    <c:plotArea>
      <c:layout>
        <c:manualLayout>
          <c:layoutTarget val="inner"/>
          <c:xMode val="edge"/>
          <c:yMode val="edge"/>
          <c:x val="0.109938561619082"/>
          <c:y val="0.222793487574979"/>
          <c:w val="0.867052162390073"/>
          <c:h val="0.474264495858326"/>
        </c:manualLayout>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[公报示例.xlsx]城区人口!$A$31:$A$62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[公报示例.xlsx]城区人口!$D$31:$D$62</c:f>
              <c:numCache>
                <c:formatCode>0_ </c:formatCode>
                <c:ptCount val="32"/>
                <c:pt idx="0">
                  <c:v>1916.1</c:v>
                </c:pt>
                <c:pt idx="1">
                  <c:v>1165.4</c:v>
                </c:pt>
                <c:pt idx="2">
                  <c:v>1999.85</c:v>
                </c:pt>
                <c:pt idx="3">
                  <c:v>1240.6</c:v>
                </c:pt>
                <c:pt idx="4">
                  <c:v>903.59</c:v>
                </c:pt>
                <c:pt idx="5">
                  <c:v>2258.31</c:v>
                </c:pt>
                <c:pt idx="6">
                  <c:v>1216.43</c:v>
                </c:pt>
                <c:pt idx="7">
                  <c:v>1390.93</c:v>
                </c:pt>
                <c:pt idx="8">
                  <c:v>2489.43</c:v>
                </c:pt>
                <c:pt idx="9">
                  <c:v>3628.52</c:v>
                </c:pt>
                <c:pt idx="10">
                  <c:v>3233.38</c:v>
                </c:pt>
                <c:pt idx="11">
                  <c:v>1945.33</c:v>
                </c:pt>
                <c:pt idx="12">
                  <c:v>1480.25</c:v>
                </c:pt>
                <c:pt idx="13">
                  <c:v>1253.75</c:v>
                </c:pt>
                <c:pt idx="14">
                  <c:v>4085.59</c:v>
                </c:pt>
                <c:pt idx="15">
                  <c:v>2739.82</c:v>
                </c:pt>
                <c:pt idx="16">
                  <c:v>2469.44</c:v>
                </c:pt>
                <c:pt idx="17">
                  <c:v>1923.55</c:v>
                </c:pt>
                <c:pt idx="18">
                  <c:v>6530.35</c:v>
                </c:pt>
                <c:pt idx="19">
                  <c:v>1342.23</c:v>
                </c:pt>
                <c:pt idx="20">
                  <c:v>328.09</c:v>
                </c:pt>
                <c:pt idx="21">
                  <c:v>1650.12</c:v>
                </c:pt>
                <c:pt idx="22">
                  <c:v>3149.61</c:v>
                </c:pt>
                <c:pt idx="23">
                  <c:v>906.21</c:v>
                </c:pt>
                <c:pt idx="24">
                  <c:v>1023.98</c:v>
                </c:pt>
                <c:pt idx="25">
                  <c:v>97.27</c:v>
                </c:pt>
                <c:pt idx="26">
                  <c:v>1395.07</c:v>
                </c:pt>
                <c:pt idx="27">
                  <c:v>679.03</c:v>
                </c:pt>
                <c:pt idx="28">
                  <c:v>218.34</c:v>
                </c:pt>
                <c:pt idx="29">
                  <c:v>312.31</c:v>
                </c:pt>
                <c:pt idx="30">
                  <c:v>847.79</c:v>
                </c:pt>
                <c:pt idx="31">
                  <c:v>107.29</c:v>
                </c:pt>
              </c:numCache>
            </c:numRef>
          </c:val>
        </c:ser>
        <c:dLbls>
          <c:showLegendKey val="0"/>
          <c:showVal val="1"/>
          <c:showCatName val="0"/>
          <c:showSerName val="0"/>
          <c:showPercent val="0"/>
          <c:showBubbleSize val="0"/>
        </c:dLbls>
        <c:gapWidth val="219"/>
        <c:overlap val="-27"/>
        <c:axId val="124274108"/>
        <c:axId val="339913684"/>
      </c:bar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mn-lt"/>
                <a:ea typeface="+mn-ea"/>
                <a:cs typeface="+mn-cs"/>
              </a:defRPr>
            </a:pPr>
          </a:p>
        </c:txPr>
        <c:crossAx val="339913684"/>
        <c:crosses val="autoZero"/>
        <c:auto val="1"/>
        <c:lblAlgn val="ctr"/>
        <c:lblOffset val="100"/>
        <c:noMultiLvlLbl val="0"/>
      </c:catAx>
      <c:valAx>
        <c:axId val="339913684"/>
        <c:scaling>
          <c:orientation val="minMax"/>
          <c:max val="8000"/>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mn-lt"/>
                    <a:ea typeface="+mn-ea"/>
                    <a:cs typeface="+mn-cs"/>
                  </a:defRPr>
                </a:pPr>
                <a:r>
                  <a:t>万人</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年全国城市道路长度及同比变化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7966954335319"/>
          <c:y val="0.0148401826484018"/>
        </c:manualLayout>
      </c:layout>
      <c:overlay val="0"/>
      <c:spPr>
        <a:noFill/>
        <a:ln>
          <a:noFill/>
        </a:ln>
        <a:effectLst/>
      </c:spPr>
    </c:title>
    <c:autoTitleDeleted val="0"/>
    <c:plotArea>
      <c:layout>
        <c:manualLayout>
          <c:layoutTarget val="inner"/>
          <c:xMode val="edge"/>
          <c:yMode val="edge"/>
          <c:x val="0.117722222222222"/>
          <c:y val="0.26027397260274"/>
          <c:w val="0.783305555555555"/>
          <c:h val="0.621118721461187"/>
        </c:manualLayout>
      </c:layout>
      <c:barChart>
        <c:barDir val="col"/>
        <c:grouping val="clustered"/>
        <c:varyColors val="0"/>
        <c:ser>
          <c:idx val="1"/>
          <c:order val="0"/>
          <c:tx>
            <c:strRef>
              <c:f>"城市道路长度"</c:f>
              <c:strCache>
                <c:ptCount val="1"/>
                <c:pt idx="0">
                  <c:v>城市道路长度</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'[公报示例.xlsx]第六部分-建成区绿地面积'!$A$4:$A$13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[公报示例.xlsx]第五部分道路!$D$4:$D$13</c:f>
              <c:numCache>
                <c:formatCode>0.0_);[Red]\(0.0\)</c:formatCode>
                <c:ptCount val="10"/>
                <c:pt idx="0">
                  <c:v>32.7081</c:v>
                </c:pt>
                <c:pt idx="1">
                  <c:v>33.6304</c:v>
                </c:pt>
                <c:pt idx="2">
                  <c:v>35.233333</c:v>
                </c:pt>
                <c:pt idx="3">
                  <c:v>36.49776</c:v>
                </c:pt>
                <c:pt idx="4">
                  <c:v>38.245362</c:v>
                </c:pt>
                <c:pt idx="5">
                  <c:v>39.783023</c:v>
                </c:pt>
                <c:pt idx="6">
                  <c:v>43.223112</c:v>
                </c:pt>
                <c:pt idx="7">
                  <c:v>45.930444</c:v>
                </c:pt>
                <c:pt idx="8">
                  <c:v>49.265037</c:v>
                </c:pt>
                <c:pt idx="9">
                  <c:v>53.247643</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'[公报示例.xlsx]第六部分-建成区绿地面积'!$A$4:$A$13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[公报示例.xlsx]第五部分道路!$F$4:$F$13</c:f>
              <c:numCache>
                <c:formatCode>0.0%</c:formatCode>
                <c:ptCount val="10"/>
                <c:pt idx="0">
                  <c:v>0.0588675189464449</c:v>
                </c:pt>
                <c:pt idx="1">
                  <c:v>0.0281979081634214</c:v>
                </c:pt>
                <c:pt idx="2">
                  <c:v>0.0476632154241401</c:v>
                </c:pt>
                <c:pt idx="3">
                  <c:v>0.0358872378040418</c:v>
                </c:pt>
                <c:pt idx="4">
                  <c:v>0.0478824453884295</c:v>
                </c:pt>
                <c:pt idx="5">
                  <c:v>0.0402051626547553</c:v>
                </c:pt>
                <c:pt idx="6">
                  <c:v>0.086471281983775</c:v>
                </c:pt>
                <c:pt idx="7">
                  <c:v>0.062636211848883</c:v>
                </c:pt>
                <c:pt idx="8">
                  <c:v>0.072600931094853</c:v>
                </c:pt>
                <c:pt idx="9">
                  <c:v>0.0808404142678307</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万公里</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55084498137762"/>
          <c:y val="0.1481526317609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年全国城市道路面积及同比变化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6532234105763"/>
          <c:y val="0.00856164383561644"/>
        </c:manualLayout>
      </c:layout>
      <c:overlay val="0"/>
      <c:spPr>
        <a:noFill/>
        <a:ln>
          <a:noFill/>
        </a:ln>
        <a:effectLst/>
      </c:spPr>
    </c:title>
    <c:autoTitleDeleted val="0"/>
    <c:plotArea>
      <c:layout>
        <c:manualLayout>
          <c:layoutTarget val="inner"/>
          <c:xMode val="edge"/>
          <c:yMode val="edge"/>
          <c:x val="0.117722222222222"/>
          <c:y val="0.26027397260274"/>
          <c:w val="0.783305555555555"/>
          <c:h val="0.621118721461187"/>
        </c:manualLayout>
      </c:layout>
      <c:barChart>
        <c:barDir val="col"/>
        <c:grouping val="clustered"/>
        <c:varyColors val="0"/>
        <c:ser>
          <c:idx val="1"/>
          <c:order val="0"/>
          <c:tx>
            <c:strRef>
              <c:f>"城市道路面积"</c:f>
              <c:strCache>
                <c:ptCount val="1"/>
                <c:pt idx="0">
                  <c:v>城市道路面积</c:v>
                </c:pt>
              </c:strCache>
            </c:strRef>
          </c:tx>
          <c:spPr>
            <a:solidFill>
              <a:srgbClr val="C00000"/>
            </a:solidFill>
            <a:ln>
              <a:noFill/>
            </a:ln>
            <a:effectLst/>
          </c:spPr>
          <c:invertIfNegative val="0"/>
          <c:dLbls>
            <c:dLbl>
              <c:idx val="5"/>
              <c:layout>
                <c:manualLayout>
                  <c:x val="0"/>
                  <c:y val="0.013698630136986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156514934133299"/>
                  <c:y val="0.047945205479452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'[公报示例.xlsx]第六部分-建成区绿地面积'!$A$4:$A$13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[公报示例.xlsx]第五部分道路!$E$4:$E$13</c:f>
              <c:numCache>
                <c:formatCode>0.0_);[Red]\(0.0\)</c:formatCode>
                <c:ptCount val="10"/>
                <c:pt idx="0">
                  <c:v>60.7449</c:v>
                </c:pt>
                <c:pt idx="1">
                  <c:v>64.4155</c:v>
                </c:pt>
                <c:pt idx="2">
                  <c:v>68.30279</c:v>
                </c:pt>
                <c:pt idx="3">
                  <c:v>71.767511</c:v>
                </c:pt>
                <c:pt idx="4">
                  <c:v>75.381886</c:v>
                </c:pt>
                <c:pt idx="5">
                  <c:v>78.885258</c:v>
                </c:pt>
                <c:pt idx="6">
                  <c:v>85.426818</c:v>
                </c:pt>
                <c:pt idx="7">
                  <c:v>90.979113</c:v>
                </c:pt>
                <c:pt idx="8">
                  <c:v>96.980254</c:v>
                </c:pt>
                <c:pt idx="9">
                  <c:v>105.365518</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'[公报示例.xlsx]第六部分-建成区绿地面积'!$A$4:$A$13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[公报示例.xlsx]第五部分道路!$G$4:$G$13</c:f>
              <c:numCache>
                <c:formatCode>0.0%</c:formatCode>
                <c:ptCount val="10"/>
                <c:pt idx="0">
                  <c:v>0.0798651788460205</c:v>
                </c:pt>
                <c:pt idx="1">
                  <c:v>0.0604264720165808</c:v>
                </c:pt>
                <c:pt idx="2">
                  <c:v>0.060347121422639</c:v>
                </c:pt>
                <c:pt idx="3">
                  <c:v>0.0507259073897273</c:v>
                </c:pt>
                <c:pt idx="4">
                  <c:v>0.0503622732576026</c:v>
                </c:pt>
                <c:pt idx="5">
                  <c:v>0.0464749847198038</c:v>
                </c:pt>
                <c:pt idx="6">
                  <c:v>0.0829249997509041</c:v>
                </c:pt>
                <c:pt idx="7">
                  <c:v>0.0649947537551965</c:v>
                </c:pt>
                <c:pt idx="8">
                  <c:v>0.0659617444280864</c:v>
                </c:pt>
                <c:pt idx="9">
                  <c:v>0.0864636217595387</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亿平方米</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55084498137762"/>
          <c:y val="0.1481526317609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年全国城市人均道路面积及同比变化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08706487399098"/>
          <c:y val="0.00856164383561644"/>
        </c:manualLayout>
      </c:layout>
      <c:overlay val="0"/>
      <c:spPr>
        <a:noFill/>
        <a:ln>
          <a:noFill/>
        </a:ln>
        <a:effectLst/>
      </c:spPr>
    </c:title>
    <c:autoTitleDeleted val="0"/>
    <c:plotArea>
      <c:layout>
        <c:manualLayout>
          <c:layoutTarget val="inner"/>
          <c:xMode val="edge"/>
          <c:yMode val="edge"/>
          <c:x val="0.117725316290596"/>
          <c:y val="0.276934468715291"/>
          <c:w val="0.783331159514804"/>
          <c:h val="0.57067752684191"/>
        </c:manualLayout>
      </c:layout>
      <c:barChart>
        <c:barDir val="col"/>
        <c:grouping val="clustered"/>
        <c:varyColors val="0"/>
        <c:ser>
          <c:idx val="1"/>
          <c:order val="0"/>
          <c:tx>
            <c:strRef>
              <c:f>"人均道路面积"</c:f>
              <c:strCache>
                <c:ptCount val="1"/>
                <c:pt idx="0">
                  <c:v>人均道路面积</c:v>
                </c:pt>
              </c:strCache>
            </c:strRef>
          </c:tx>
          <c:spPr>
            <a:solidFill>
              <a:srgbClr val="C00000"/>
            </a:solidFill>
            <a:ln>
              <a:noFill/>
            </a:ln>
            <a:effectLst/>
          </c:spPr>
          <c:invertIfNegative val="0"/>
          <c:dLbls>
            <c:dLbl>
              <c:idx val="5"/>
              <c:layout>
                <c:manualLayout>
                  <c:x val="0"/>
                  <c:y val="0.013698630136986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156514934133299"/>
                  <c:y val="0.047945205479452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0_);[Red]\(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'[公报示例.xlsx]第六部分-建成区绿地面积'!$A$4:$A$13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[公报示例.xlsx]第五部分道路!$I$4:$I$13</c:f>
              <c:numCache>
                <c:formatCode>0.00_);[Red]\(0.00\)</c:formatCode>
                <c:ptCount val="10"/>
                <c:pt idx="0">
                  <c:v>14.39</c:v>
                </c:pt>
                <c:pt idx="1">
                  <c:v>14.87</c:v>
                </c:pt>
                <c:pt idx="2">
                  <c:v>15.34</c:v>
                </c:pt>
                <c:pt idx="3">
                  <c:v>15.6</c:v>
                </c:pt>
                <c:pt idx="4">
                  <c:v>15.8</c:v>
                </c:pt>
                <c:pt idx="5">
                  <c:v>16.05</c:v>
                </c:pt>
                <c:pt idx="6">
                  <c:v>16.7006736039375</c:v>
                </c:pt>
                <c:pt idx="7">
                  <c:v>17.355097146651</c:v>
                </c:pt>
                <c:pt idx="8">
                  <c:v>18.0384885802419</c:v>
                </c:pt>
                <c:pt idx="9">
                  <c:v>18.84</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'[公报示例.xlsx]第六部分-建成区绿地面积'!$A$4:$A$13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[公报示例.xlsx]第五部分道路!$J$4:$J$13</c:f>
              <c:numCache>
                <c:formatCode>0.0%</c:formatCode>
                <c:ptCount val="10"/>
                <c:pt idx="0">
                  <c:v>0.0465454545454547</c:v>
                </c:pt>
                <c:pt idx="1">
                  <c:v>0.0333564975677554</c:v>
                </c:pt>
                <c:pt idx="2">
                  <c:v>0.031607262945528</c:v>
                </c:pt>
                <c:pt idx="3">
                  <c:v>0.0169491525423728</c:v>
                </c:pt>
                <c:pt idx="4">
                  <c:v>0.012820512820513</c:v>
                </c:pt>
                <c:pt idx="5">
                  <c:v>0.0158227848101267</c:v>
                </c:pt>
                <c:pt idx="6">
                  <c:v>0.0405404114602803</c:v>
                </c:pt>
                <c:pt idx="7">
                  <c:v>0.0391854579182485</c:v>
                </c:pt>
                <c:pt idx="8">
                  <c:v>0.0393769869345122</c:v>
                </c:pt>
                <c:pt idx="9">
                  <c:v>0.0444334022882638</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平方米</a:t>
                </a:r>
              </a:p>
            </c:rich>
          </c:tx>
          <c:layout>
            <c:manualLayout>
              <c:xMode val="edge"/>
              <c:yMode val="edge"/>
              <c:x val="0.0224307131573987"/>
              <c:y val="0.363311103100217"/>
            </c:manualLayout>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55084498137762"/>
          <c:y val="0.1481526317609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2021</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年全国分省（区、市）和新疆兵团城市人均道路面积</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78331191004354"/>
          <c:y val="0.00832408435072142"/>
        </c:manualLayout>
      </c:layout>
      <c:overlay val="0"/>
      <c:spPr>
        <a:noFill/>
        <a:ln>
          <a:noFill/>
        </a:ln>
        <a:effectLst/>
      </c:spPr>
    </c:title>
    <c:autoTitleDeleted val="0"/>
    <c:plotArea>
      <c:layout>
        <c:manualLayout>
          <c:layoutTarget val="inner"/>
          <c:xMode val="edge"/>
          <c:yMode val="edge"/>
          <c:x val="0.0840539083557952"/>
          <c:y val="0.356124527203957"/>
          <c:w val="0.890501347708895"/>
          <c:h val="0.372534186790806"/>
        </c:manualLayout>
      </c:layout>
      <c:barChart>
        <c:barDir val="col"/>
        <c:grouping val="clustered"/>
        <c:varyColors val="0"/>
        <c:ser>
          <c:idx val="0"/>
          <c:order val="0"/>
          <c:tx>
            <c:strRef>
              <c:f>"城市人均道路面积"</c:f>
              <c:strCache>
                <c:ptCount val="1"/>
                <c:pt idx="0">
                  <c:v>城市人均道路面积</c:v>
                </c:pt>
              </c:strCache>
            </c:strRef>
          </c:tx>
          <c:spPr>
            <a:solidFill>
              <a:srgbClr val="C00000"/>
            </a:solidFill>
            <a:ln>
              <a:noFill/>
            </a:ln>
            <a:effectLst/>
          </c:spPr>
          <c:invertIfNegative val="0"/>
          <c:dLbls>
            <c:numFmt formatCode="#,##0.0_);[Red]\(#,##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[公报示例.xlsx]第五部分道路!$B$45:$B$76</c:f>
              <c:numCache>
                <c:formatCode>#,##0.00</c:formatCode>
                <c:ptCount val="32"/>
                <c:pt idx="0">
                  <c:v>7.72421585512238</c:v>
                </c:pt>
                <c:pt idx="1">
                  <c:v>15.4449545220525</c:v>
                </c:pt>
                <c:pt idx="2">
                  <c:v>20.9907093031977</c:v>
                </c:pt>
                <c:pt idx="3">
                  <c:v>18.2942044172175</c:v>
                </c:pt>
                <c:pt idx="4">
                  <c:v>25.5174913400989</c:v>
                </c:pt>
                <c:pt idx="5">
                  <c:v>19.7968657978754</c:v>
                </c:pt>
                <c:pt idx="6">
                  <c:v>16.1871953174453</c:v>
                </c:pt>
                <c:pt idx="7">
                  <c:v>16.5376762310109</c:v>
                </c:pt>
                <c:pt idx="8">
                  <c:v>4.81114150628859</c:v>
                </c:pt>
                <c:pt idx="9">
                  <c:v>25.6207517114416</c:v>
                </c:pt>
                <c:pt idx="10">
                  <c:v>18.0345860987573</c:v>
                </c:pt>
                <c:pt idx="11">
                  <c:v>23.740784339932</c:v>
                </c:pt>
                <c:pt idx="12">
                  <c:v>20.9689309238304</c:v>
                </c:pt>
                <c:pt idx="13">
                  <c:v>23.8455513459621</c:v>
                </c:pt>
                <c:pt idx="14">
                  <c:v>26.4978693407806</c:v>
                </c:pt>
                <c:pt idx="15">
                  <c:v>16.3697651670548</c:v>
                </c:pt>
                <c:pt idx="16">
                  <c:v>18.7381511597771</c:v>
                </c:pt>
                <c:pt idx="17">
                  <c:v>20.1492552832003</c:v>
                </c:pt>
                <c:pt idx="18">
                  <c:v>15.399542137864</c:v>
                </c:pt>
                <c:pt idx="19">
                  <c:v>23.9156925415167</c:v>
                </c:pt>
                <c:pt idx="20">
                  <c:v>25.959614739858</c:v>
                </c:pt>
                <c:pt idx="21">
                  <c:v>15.9501733207282</c:v>
                </c:pt>
                <c:pt idx="22">
                  <c:v>17.8887005057769</c:v>
                </c:pt>
                <c:pt idx="23">
                  <c:v>22.0996788823783</c:v>
                </c:pt>
                <c:pt idx="24">
                  <c:v>18.1016035469443</c:v>
                </c:pt>
                <c:pt idx="25">
                  <c:v>21.4792844659196</c:v>
                </c:pt>
                <c:pt idx="26">
                  <c:v>17.6017619187568</c:v>
                </c:pt>
                <c:pt idx="27">
                  <c:v>22.1991370042561</c:v>
                </c:pt>
                <c:pt idx="28">
                  <c:v>18.9280021984062</c:v>
                </c:pt>
                <c:pt idx="29">
                  <c:v>26.2340302904166</c:v>
                </c:pt>
                <c:pt idx="30">
                  <c:v>20.9016973542976</c:v>
                </c:pt>
                <c:pt idx="31">
                  <c:v>28.3027309162084</c:v>
                </c:pt>
              </c:numCache>
            </c:numRef>
          </c:val>
        </c:ser>
        <c:dLbls>
          <c:showLegendKey val="0"/>
          <c:showVal val="1"/>
          <c:showCatName val="0"/>
          <c:showSerName val="0"/>
          <c:showPercent val="0"/>
          <c:showBubbleSize val="0"/>
        </c:dLbls>
        <c:gapWidth val="219"/>
        <c:overlap val="-27"/>
        <c:axId val="124274108"/>
        <c:axId val="339913684"/>
      </c:barChart>
      <c:lineChart>
        <c:grouping val="standard"/>
        <c:varyColors val="0"/>
        <c:ser>
          <c:idx val="1"/>
          <c:order val="1"/>
          <c:tx>
            <c:strRef>
              <c:f>"全国城市人均道路面积18.8平方米"</c:f>
              <c:strCache>
                <c:ptCount val="1"/>
                <c:pt idx="0">
                  <c:v>全国城市人均道路面积18.8平方米</c:v>
                </c:pt>
              </c:strCache>
            </c:strRef>
          </c:tx>
          <c:spPr>
            <a:ln w="15875" cap="rnd">
              <a:solidFill>
                <a:srgbClr val="002060"/>
              </a:solidFill>
              <a:prstDash val="dash"/>
              <a:round/>
            </a:ln>
            <a:effectLst/>
            <a:sp3d contourW="15875"/>
          </c:spPr>
          <c:marker>
            <c:symbol val="none"/>
          </c:marker>
          <c:dLbls>
            <c:delete val="1"/>
          </c:dLbls>
          <c:cat>
            <c:strRef>
              <c:f>'[公报示例.xlsx]第六部分-建成区绿地面积'!$A$31:$A$62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[公报示例.xlsx]第五部分道路!$C$45:$C$76</c:f>
              <c:numCache>
                <c:formatCode>#,##0.00</c:formatCode>
                <c:ptCount val="32"/>
                <c:pt idx="0">
                  <c:v>18.84</c:v>
                </c:pt>
                <c:pt idx="1">
                  <c:v>18.84</c:v>
                </c:pt>
                <c:pt idx="2">
                  <c:v>18.84</c:v>
                </c:pt>
                <c:pt idx="3">
                  <c:v>18.84</c:v>
                </c:pt>
                <c:pt idx="4">
                  <c:v>18.84</c:v>
                </c:pt>
                <c:pt idx="5">
                  <c:v>18.84</c:v>
                </c:pt>
                <c:pt idx="6">
                  <c:v>18.84</c:v>
                </c:pt>
                <c:pt idx="7">
                  <c:v>18.84</c:v>
                </c:pt>
                <c:pt idx="8">
                  <c:v>18.84</c:v>
                </c:pt>
                <c:pt idx="9">
                  <c:v>18.84</c:v>
                </c:pt>
                <c:pt idx="10">
                  <c:v>18.84</c:v>
                </c:pt>
                <c:pt idx="11">
                  <c:v>18.84</c:v>
                </c:pt>
                <c:pt idx="12">
                  <c:v>18.84</c:v>
                </c:pt>
                <c:pt idx="13">
                  <c:v>18.84</c:v>
                </c:pt>
                <c:pt idx="14">
                  <c:v>18.84</c:v>
                </c:pt>
                <c:pt idx="15">
                  <c:v>18.84</c:v>
                </c:pt>
                <c:pt idx="16">
                  <c:v>18.84</c:v>
                </c:pt>
                <c:pt idx="17">
                  <c:v>18.84</c:v>
                </c:pt>
                <c:pt idx="18">
                  <c:v>18.84</c:v>
                </c:pt>
                <c:pt idx="19">
                  <c:v>18.84</c:v>
                </c:pt>
                <c:pt idx="20">
                  <c:v>18.84</c:v>
                </c:pt>
                <c:pt idx="21">
                  <c:v>18.84</c:v>
                </c:pt>
                <c:pt idx="22">
                  <c:v>18.84</c:v>
                </c:pt>
                <c:pt idx="23">
                  <c:v>18.84</c:v>
                </c:pt>
                <c:pt idx="24">
                  <c:v>18.84</c:v>
                </c:pt>
                <c:pt idx="25">
                  <c:v>18.84</c:v>
                </c:pt>
                <c:pt idx="26">
                  <c:v>18.84</c:v>
                </c:pt>
                <c:pt idx="27">
                  <c:v>18.84</c:v>
                </c:pt>
                <c:pt idx="28">
                  <c:v>18.84</c:v>
                </c:pt>
                <c:pt idx="29">
                  <c:v>18.84</c:v>
                </c:pt>
                <c:pt idx="30">
                  <c:v>18.84</c:v>
                </c:pt>
                <c:pt idx="31">
                  <c:v>18.84</c:v>
                </c:pt>
              </c:numCache>
            </c:numRef>
          </c:val>
          <c:smooth val="0"/>
        </c:ser>
        <c:dLbls>
          <c:showLegendKey val="0"/>
          <c:showVal val="0"/>
          <c:showCatName val="0"/>
          <c:showSerName val="0"/>
          <c:showPercent val="0"/>
          <c:showBubbleSize val="0"/>
        </c:dLbls>
        <c:marker val="0"/>
        <c:smooth val="0"/>
        <c:axId val="528172304"/>
        <c:axId val="113708956"/>
      </c:line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max val="30"/>
          <c:min val="5"/>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平方米</a:t>
                </a:r>
                <a:endPar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5"/>
      </c:valAx>
      <c:catAx>
        <c:axId val="52817230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13708956"/>
        <c:crosses val="autoZero"/>
        <c:auto val="1"/>
        <c:lblAlgn val="ctr"/>
        <c:lblOffset val="100"/>
        <c:noMultiLvlLbl val="0"/>
      </c:catAx>
      <c:valAx>
        <c:axId val="113708956"/>
        <c:scaling>
          <c:orientation val="minMax"/>
          <c:max val="0.48"/>
          <c:min val="0.3"/>
        </c:scaling>
        <c:delete val="1"/>
        <c:axPos val="r"/>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28172304"/>
        <c:crosses val="max"/>
        <c:crossBetween val="between"/>
        <c:majorUnit val="0.06"/>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年全国城市建成区绿地面积及同比变化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60186857817776"/>
          <c:y val="0.0154109589041096"/>
        </c:manualLayout>
      </c:layout>
      <c:overlay val="0"/>
      <c:spPr>
        <a:noFill/>
        <a:ln>
          <a:noFill/>
        </a:ln>
        <a:effectLst/>
      </c:spPr>
    </c:title>
    <c:autoTitleDeleted val="0"/>
    <c:plotArea>
      <c:layout>
        <c:manualLayout>
          <c:layoutTarget val="inner"/>
          <c:xMode val="edge"/>
          <c:yMode val="edge"/>
          <c:x val="0.117722222222222"/>
          <c:y val="0.26027397260274"/>
          <c:w val="0.783305555555555"/>
          <c:h val="0.621118721461187"/>
        </c:manualLayout>
      </c:layout>
      <c:barChart>
        <c:barDir val="col"/>
        <c:grouping val="clustered"/>
        <c:varyColors val="0"/>
        <c:ser>
          <c:idx val="1"/>
          <c:order val="0"/>
          <c:tx>
            <c:strRef>
              <c:f>"城市建成区绿地面积"</c:f>
              <c:strCache>
                <c:ptCount val="1"/>
                <c:pt idx="0">
                  <c:v>城市建成区绿地面积</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'[公报示例.xlsx]第六部分-建成区绿地面积'!$A$4:$A$13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'[公报示例.xlsx]第六部分-建成区绿地面积'!$C$4:$C$13</c:f>
              <c:numCache>
                <c:formatCode>0.00_ </c:formatCode>
                <c:ptCount val="10"/>
                <c:pt idx="0">
                  <c:v>163.524</c:v>
                </c:pt>
                <c:pt idx="1">
                  <c:v>171.9361</c:v>
                </c:pt>
                <c:pt idx="2">
                  <c:v>181.996015</c:v>
                </c:pt>
                <c:pt idx="3">
                  <c:v>190.786221</c:v>
                </c:pt>
                <c:pt idx="4">
                  <c:v>199.258398</c:v>
                </c:pt>
                <c:pt idx="5">
                  <c:v>209.912002</c:v>
                </c:pt>
                <c:pt idx="6">
                  <c:v>219.712159</c:v>
                </c:pt>
                <c:pt idx="7">
                  <c:v>228.520669</c:v>
                </c:pt>
                <c:pt idx="8">
                  <c:v>239.808468</c:v>
                </c:pt>
                <c:pt idx="9">
                  <c:v>249.250902</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C00000"/>
                </a:solidFill>
              </a:ln>
              <a:effectLst/>
            </c:spPr>
          </c:marker>
          <c:dLbls>
            <c:delete val="1"/>
          </c:dLbls>
          <c:cat>
            <c:numRef>
              <c:f>'[公报示例.xlsx]第六部分-建成区绿地面积'!$A$4:$A$13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'[公报示例.xlsx]第六部分-建成区绿地面积'!$D$4:$D$13</c:f>
              <c:numCache>
                <c:formatCode>0.00%</c:formatCode>
                <c:ptCount val="10"/>
                <c:pt idx="0">
                  <c:v>0.0577334191470162</c:v>
                </c:pt>
                <c:pt idx="1">
                  <c:v>0.0514426016976102</c:v>
                </c:pt>
                <c:pt idx="2">
                  <c:v>0.0585096149092599</c:v>
                </c:pt>
                <c:pt idx="3">
                  <c:v>0.0482988926982824</c:v>
                </c:pt>
                <c:pt idx="4">
                  <c:v>0.0444066503104541</c:v>
                </c:pt>
                <c:pt idx="5">
                  <c:v>0.0534662734767144</c:v>
                </c:pt>
                <c:pt idx="6">
                  <c:v>0.0466869779080092</c:v>
                </c:pt>
                <c:pt idx="7">
                  <c:v>0.0400911357846154</c:v>
                </c:pt>
                <c:pt idx="8">
                  <c:v>0.0493950899469842</c:v>
                </c:pt>
                <c:pt idx="9">
                  <c:v>0.0393748981374586</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万公顷</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55084498137762"/>
          <c:y val="0.1481526317609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2021</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年全国分省（区、市）和新疆兵团城市建成区绿地面积</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47717778078103"/>
          <c:y val="0.0099272005294507"/>
        </c:manualLayout>
      </c:layout>
      <c:overlay val="0"/>
      <c:spPr>
        <a:noFill/>
        <a:ln>
          <a:noFill/>
        </a:ln>
        <a:effectLst/>
      </c:spPr>
    </c:title>
    <c:autoTitleDeleted val="0"/>
    <c:plotArea>
      <c:layout>
        <c:manualLayout>
          <c:layoutTarget val="inner"/>
          <c:xMode val="edge"/>
          <c:yMode val="edge"/>
          <c:x val="0.0793398385736658"/>
          <c:y val="0.258438120450033"/>
          <c:w val="0.895241537164197"/>
          <c:h val="0.438583719391132"/>
        </c:manualLayout>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'[公报示例.xlsx]第六部分-建成区绿地面积'!$C$31:$C$62</c:f>
              <c:numCache>
                <c:formatCode>0.00_ </c:formatCode>
                <c:ptCount val="32"/>
                <c:pt idx="0">
                  <c:v>9.312717</c:v>
                </c:pt>
                <c:pt idx="1">
                  <c:v>4.369272</c:v>
                </c:pt>
                <c:pt idx="2">
                  <c:v>8.951376</c:v>
                </c:pt>
                <c:pt idx="3">
                  <c:v>5.056574</c:v>
                </c:pt>
                <c:pt idx="4">
                  <c:v>4.910868</c:v>
                </c:pt>
                <c:pt idx="5">
                  <c:v>10.626868</c:v>
                </c:pt>
                <c:pt idx="6">
                  <c:v>5.819649</c:v>
                </c:pt>
                <c:pt idx="7">
                  <c:v>6.177458</c:v>
                </c:pt>
                <c:pt idx="8">
                  <c:v>4.480712</c:v>
                </c:pt>
                <c:pt idx="9">
                  <c:v>19.624459</c:v>
                </c:pt>
                <c:pt idx="10">
                  <c:v>12.643534</c:v>
                </c:pt>
                <c:pt idx="11">
                  <c:v>9.927608</c:v>
                </c:pt>
                <c:pt idx="12">
                  <c:v>7.248262</c:v>
                </c:pt>
                <c:pt idx="13">
                  <c:v>7.501006</c:v>
                </c:pt>
                <c:pt idx="14">
                  <c:v>22.060228</c:v>
                </c:pt>
                <c:pt idx="15">
                  <c:v>11.821055</c:v>
                </c:pt>
                <c:pt idx="16">
                  <c:v>10.835298</c:v>
                </c:pt>
                <c:pt idx="17">
                  <c:v>7.916505</c:v>
                </c:pt>
                <c:pt idx="18">
                  <c:v>25.636103</c:v>
                </c:pt>
                <c:pt idx="19">
                  <c:v>5.944434</c:v>
                </c:pt>
                <c:pt idx="20">
                  <c:v>1.517064</c:v>
                </c:pt>
                <c:pt idx="21">
                  <c:v>6.470523</c:v>
                </c:pt>
                <c:pt idx="22">
                  <c:v>12.788006</c:v>
                </c:pt>
                <c:pt idx="23">
                  <c:v>4.724862</c:v>
                </c:pt>
                <c:pt idx="24">
                  <c:v>4.815617</c:v>
                </c:pt>
                <c:pt idx="25">
                  <c:v>0.613287</c:v>
                </c:pt>
                <c:pt idx="26">
                  <c:v>5.746648</c:v>
                </c:pt>
                <c:pt idx="27">
                  <c:v>3.036347</c:v>
                </c:pt>
                <c:pt idx="28">
                  <c:v>0.820664</c:v>
                </c:pt>
                <c:pt idx="29">
                  <c:v>1.965259</c:v>
                </c:pt>
                <c:pt idx="30">
                  <c:v>4.965493</c:v>
                </c:pt>
                <c:pt idx="31">
                  <c:v>0.923146</c:v>
                </c:pt>
              </c:numCache>
            </c:numRef>
          </c:val>
        </c:ser>
        <c:dLbls>
          <c:showLegendKey val="0"/>
          <c:showVal val="1"/>
          <c:showCatName val="0"/>
          <c:showSerName val="0"/>
          <c:showPercent val="0"/>
          <c:showBubbleSize val="0"/>
        </c:dLbls>
        <c:gapWidth val="219"/>
        <c:overlap val="-27"/>
        <c:axId val="124274108"/>
        <c:axId val="339913684"/>
      </c:bar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mn-lt"/>
                <a:ea typeface="+mn-ea"/>
                <a:cs typeface="+mn-cs"/>
              </a:defRPr>
            </a:pPr>
          </a:p>
        </c:txPr>
        <c:crossAx val="339913684"/>
        <c:crosses val="autoZero"/>
        <c:auto val="1"/>
        <c:lblAlgn val="ctr"/>
        <c:lblOffset val="100"/>
        <c:noMultiLvlLbl val="0"/>
      </c:catAx>
      <c:valAx>
        <c:axId val="339913684"/>
        <c:scaling>
          <c:orientation val="minMax"/>
        </c:scaling>
        <c:delete val="0"/>
        <c:axPos val="l"/>
        <c:title>
          <c:tx>
            <c:rich>
              <a:bodyPr rot="0" spcFirstLastPara="0" vertOverflow="ellipsis" vert="mongolianVert" wrap="square" anchor="ctr" anchorCtr="1"/>
              <a:lstStyle/>
              <a:p>
                <a:pPr defTabSz="914400">
                  <a:defRPr lang="zh-CN" sz="1000" b="0" i="0" u="none" strike="noStrike" kern="1200" baseline="0">
                    <a:solidFill>
                      <a:sysClr val="windowText" lastClr="000000"/>
                    </a:solidFill>
                    <a:latin typeface="+mn-lt"/>
                    <a:ea typeface="+mn-ea"/>
                    <a:cs typeface="+mn-cs"/>
                  </a:defRPr>
                </a:pPr>
                <a:r>
                  <a:t>万公顷</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年全国城市建成区绿地率</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26694195130059"/>
          <c:y val="0.0222602739726028"/>
        </c:manualLayout>
      </c:layout>
      <c:overlay val="0"/>
      <c:spPr>
        <a:noFill/>
        <a:ln>
          <a:noFill/>
        </a:ln>
        <a:effectLst/>
      </c:spPr>
    </c:title>
    <c:autoTitleDeleted val="0"/>
    <c:plotArea>
      <c:layout>
        <c:manualLayout>
          <c:layoutTarget val="inner"/>
          <c:xMode val="edge"/>
          <c:yMode val="edge"/>
          <c:x val="0.078623784592371"/>
          <c:y val="0.236696613683483"/>
          <c:w val="0.916888556469708"/>
          <c:h val="0.62107809260539"/>
        </c:manualLayout>
      </c:layout>
      <c:barChart>
        <c:barDir val="col"/>
        <c:grouping val="clustered"/>
        <c:varyColors val="0"/>
        <c:ser>
          <c:idx val="1"/>
          <c:order val="0"/>
          <c:tx>
            <c:strRef>
              <c:f>"城市建成区绿地率"</c:f>
              <c:strCache>
                <c:ptCount val="1"/>
                <c:pt idx="0">
                  <c:v>城市建成区绿地率</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'[公报示例.xlsx]第六部分-建成区绿地率'!$A$4:$A$13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'[公报示例.xlsx]第六部分-建成区绿地率'!$C$4:$C$13</c:f>
              <c:numCache>
                <c:formatCode>0.00%</c:formatCode>
                <c:ptCount val="10"/>
                <c:pt idx="0">
                  <c:v>0.3572</c:v>
                </c:pt>
                <c:pt idx="1">
                  <c:v>0.3578</c:v>
                </c:pt>
                <c:pt idx="2">
                  <c:v>0.3629</c:v>
                </c:pt>
                <c:pt idx="3">
                  <c:v>0.3636</c:v>
                </c:pt>
                <c:pt idx="4">
                  <c:v>0.3643</c:v>
                </c:pt>
                <c:pt idx="5">
                  <c:v>0.3711</c:v>
                </c:pt>
                <c:pt idx="6">
                  <c:v>0.37344629189374</c:v>
                </c:pt>
                <c:pt idx="7">
                  <c:v>0.376280102255285</c:v>
                </c:pt>
                <c:pt idx="8">
                  <c:v>0.38243061455159</c:v>
                </c:pt>
                <c:pt idx="9">
                  <c:v>0.387</c:v>
                </c:pt>
              </c:numCache>
            </c:numRef>
          </c:val>
        </c:ser>
        <c:dLbls>
          <c:showLegendKey val="0"/>
          <c:showVal val="1"/>
          <c:showCatName val="0"/>
          <c:showSerName val="0"/>
          <c:showPercent val="0"/>
          <c:showBubbleSize val="0"/>
        </c:dLbls>
        <c:gapWidth val="219"/>
        <c:overlap val="-27"/>
        <c:axId val="784184473"/>
        <c:axId val="881424677"/>
      </c:bar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0.01"/>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2021</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年全国分省（区、市）和新疆兵团城市建成区绿地率</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56044719494897"/>
          <c:y val="0.00975292587776333"/>
        </c:manualLayout>
      </c:layout>
      <c:overlay val="0"/>
      <c:spPr>
        <a:noFill/>
        <a:ln>
          <a:noFill/>
        </a:ln>
        <a:effectLst/>
      </c:spPr>
    </c:title>
    <c:autoTitleDeleted val="0"/>
    <c:plotArea>
      <c:layout>
        <c:manualLayout>
          <c:layoutTarget val="inner"/>
          <c:xMode val="edge"/>
          <c:yMode val="edge"/>
          <c:x val="0.0840539083557952"/>
          <c:y val="0.255746290369508"/>
          <c:w val="0.890501347708895"/>
          <c:h val="0.472912423625255"/>
        </c:manualLayout>
      </c:layout>
      <c:barChart>
        <c:barDir val="col"/>
        <c:grouping val="clustered"/>
        <c:varyColors val="0"/>
        <c:ser>
          <c:idx val="0"/>
          <c:order val="0"/>
          <c:tx>
            <c:strRef>
              <c:f>"城市建成区绿地率"</c:f>
              <c:strCache>
                <c:ptCount val="1"/>
                <c:pt idx="0">
                  <c:v>城市建成区绿地率</c:v>
                </c:pt>
              </c:strCache>
            </c:strRef>
          </c:tx>
          <c:spPr>
            <a:solidFill>
              <a:srgbClr val="C00000"/>
            </a:solidFill>
            <a:ln>
              <a:noFill/>
            </a:ln>
            <a:effectLst/>
          </c:spPr>
          <c:invertIfNegative val="0"/>
          <c:dLbls>
            <c:dLbl>
              <c:idx val="2"/>
              <c:layout>
                <c:manualLayout>
                  <c:x val="-0.00385495723406818"/>
                  <c:y val="0.022754491017964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0.00265028309842188"/>
                  <c:y val="0.01287425149700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0_);[Red]\(#,##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'[公报示例.xlsx]第六部分-建成区绿地率'!$B$21:$B$52</c:f>
              <c:numCache>
                <c:formatCode>#,##0.00</c:formatCode>
                <c:ptCount val="32"/>
                <c:pt idx="0">
                  <c:v>46.93</c:v>
                </c:pt>
                <c:pt idx="1">
                  <c:v>35.3120994399231</c:v>
                </c:pt>
                <c:pt idx="2">
                  <c:v>39.279371626662</c:v>
                </c:pt>
                <c:pt idx="3">
                  <c:v>39.8513153539398</c:v>
                </c:pt>
                <c:pt idx="4">
                  <c:v>38.6232422059332</c:v>
                </c:pt>
                <c:pt idx="5">
                  <c:v>39.3908666320706</c:v>
                </c:pt>
                <c:pt idx="6">
                  <c:v>36.7035974217636</c:v>
                </c:pt>
                <c:pt idx="7">
                  <c:v>33.6308987173624</c:v>
                </c:pt>
                <c:pt idx="8">
                  <c:v>36.0765861513688</c:v>
                </c:pt>
                <c:pt idx="9">
                  <c:v>40.3991629680256</c:v>
                </c:pt>
                <c:pt idx="10">
                  <c:v>37.5578032449902</c:v>
                </c:pt>
                <c:pt idx="11">
                  <c:v>40.3533414357544</c:v>
                </c:pt>
                <c:pt idx="12">
                  <c:v>40.7590422421162</c:v>
                </c:pt>
                <c:pt idx="13">
                  <c:v>43.2918518347512</c:v>
                </c:pt>
                <c:pt idx="14">
                  <c:v>38.9079570006261</c:v>
                </c:pt>
                <c:pt idx="15">
                  <c:v>36.5464379678037</c:v>
                </c:pt>
                <c:pt idx="16">
                  <c:v>38.8657259279452</c:v>
                </c:pt>
                <c:pt idx="17">
                  <c:v>38.3261924127113</c:v>
                </c:pt>
                <c:pt idx="18">
                  <c:v>38.9449583374477</c:v>
                </c:pt>
                <c:pt idx="19">
                  <c:v>35.402712183385</c:v>
                </c:pt>
                <c:pt idx="20">
                  <c:v>37.0458352665381</c:v>
                </c:pt>
                <c:pt idx="21">
                  <c:v>39.3254020347883</c:v>
                </c:pt>
                <c:pt idx="22">
                  <c:v>37.9756787095165</c:v>
                </c:pt>
                <c:pt idx="23">
                  <c:v>39.7997068634388</c:v>
                </c:pt>
                <c:pt idx="24">
                  <c:v>38.4538732422483</c:v>
                </c:pt>
                <c:pt idx="25">
                  <c:v>36.012155020552</c:v>
                </c:pt>
                <c:pt idx="26">
                  <c:v>37.6343215649292</c:v>
                </c:pt>
                <c:pt idx="27">
                  <c:v>32.7344243561133</c:v>
                </c:pt>
                <c:pt idx="28">
                  <c:v>32.9002565747274</c:v>
                </c:pt>
                <c:pt idx="29">
                  <c:v>39.6781546537452</c:v>
                </c:pt>
                <c:pt idx="30">
                  <c:v>37.3474509980896</c:v>
                </c:pt>
                <c:pt idx="31">
                  <c:v>40.8345202813288</c:v>
                </c:pt>
              </c:numCache>
            </c:numRef>
          </c:val>
        </c:ser>
        <c:dLbls>
          <c:showLegendKey val="0"/>
          <c:showVal val="1"/>
          <c:showCatName val="0"/>
          <c:showSerName val="0"/>
          <c:showPercent val="0"/>
          <c:showBubbleSize val="0"/>
        </c:dLbls>
        <c:gapWidth val="219"/>
        <c:overlap val="-27"/>
        <c:axId val="124274108"/>
        <c:axId val="339913684"/>
      </c:barChart>
      <c:lineChart>
        <c:grouping val="standard"/>
        <c:varyColors val="0"/>
        <c:ser>
          <c:idx val="1"/>
          <c:order val="1"/>
          <c:tx>
            <c:strRef>
              <c:f>"全国城市建成区绿地率38.7%"</c:f>
              <c:strCache>
                <c:ptCount val="1"/>
                <c:pt idx="0">
                  <c:v>全国城市建成区绿地率38.7%</c:v>
                </c:pt>
              </c:strCache>
            </c:strRef>
          </c:tx>
          <c:spPr>
            <a:ln w="15875" cap="rnd">
              <a:solidFill>
                <a:srgbClr val="002060"/>
              </a:solidFill>
              <a:prstDash val="dash"/>
              <a:round/>
            </a:ln>
            <a:effectLst/>
            <a:sp3d contourW="15875"/>
          </c:spPr>
          <c:marker>
            <c:symbol val="none"/>
          </c:marker>
          <c:dLbls>
            <c:delete val="1"/>
          </c:dLbls>
          <c:cat>
            <c:strRef>
              <c:f>'[公报示例.xlsx]第六部分-建成区绿地面积'!$A$31:$A$62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'[公报示例.xlsx]第六部分-建成区绿地率'!$D$21:$D$52</c:f>
              <c:numCache>
                <c:formatCode>#,##0.00</c:formatCode>
                <c:ptCount val="32"/>
                <c:pt idx="0">
                  <c:v>38.7</c:v>
                </c:pt>
                <c:pt idx="1">
                  <c:v>38.7</c:v>
                </c:pt>
                <c:pt idx="2">
                  <c:v>38.7</c:v>
                </c:pt>
                <c:pt idx="3">
                  <c:v>38.7</c:v>
                </c:pt>
                <c:pt idx="4">
                  <c:v>38.7</c:v>
                </c:pt>
                <c:pt idx="5">
                  <c:v>38.7</c:v>
                </c:pt>
                <c:pt idx="6">
                  <c:v>38.7</c:v>
                </c:pt>
                <c:pt idx="7">
                  <c:v>38.7</c:v>
                </c:pt>
                <c:pt idx="8">
                  <c:v>38.7</c:v>
                </c:pt>
                <c:pt idx="9">
                  <c:v>38.7</c:v>
                </c:pt>
                <c:pt idx="10">
                  <c:v>38.7</c:v>
                </c:pt>
                <c:pt idx="11">
                  <c:v>38.7</c:v>
                </c:pt>
                <c:pt idx="12">
                  <c:v>38.7</c:v>
                </c:pt>
                <c:pt idx="13">
                  <c:v>38.7</c:v>
                </c:pt>
                <c:pt idx="14">
                  <c:v>38.7</c:v>
                </c:pt>
                <c:pt idx="15">
                  <c:v>38.7</c:v>
                </c:pt>
                <c:pt idx="16">
                  <c:v>38.7</c:v>
                </c:pt>
                <c:pt idx="17">
                  <c:v>38.7</c:v>
                </c:pt>
                <c:pt idx="18">
                  <c:v>38.7</c:v>
                </c:pt>
                <c:pt idx="19">
                  <c:v>38.7</c:v>
                </c:pt>
                <c:pt idx="20">
                  <c:v>38.7</c:v>
                </c:pt>
                <c:pt idx="21">
                  <c:v>38.7</c:v>
                </c:pt>
                <c:pt idx="22">
                  <c:v>38.7</c:v>
                </c:pt>
                <c:pt idx="23">
                  <c:v>38.7</c:v>
                </c:pt>
                <c:pt idx="24">
                  <c:v>38.7</c:v>
                </c:pt>
                <c:pt idx="25">
                  <c:v>38.7</c:v>
                </c:pt>
                <c:pt idx="26">
                  <c:v>38.7</c:v>
                </c:pt>
                <c:pt idx="27">
                  <c:v>38.7</c:v>
                </c:pt>
                <c:pt idx="28">
                  <c:v>38.7</c:v>
                </c:pt>
                <c:pt idx="29">
                  <c:v>38.7</c:v>
                </c:pt>
                <c:pt idx="30">
                  <c:v>38.7</c:v>
                </c:pt>
                <c:pt idx="31">
                  <c:v>38.7</c:v>
                </c:pt>
              </c:numCache>
            </c:numRef>
          </c:val>
          <c:smooth val="0"/>
        </c:ser>
        <c:dLbls>
          <c:showLegendKey val="0"/>
          <c:showVal val="0"/>
          <c:showCatName val="0"/>
          <c:showSerName val="0"/>
          <c:showPercent val="0"/>
          <c:showBubbleSize val="0"/>
        </c:dLbls>
        <c:marker val="0"/>
        <c:smooth val="0"/>
        <c:axId val="528172304"/>
        <c:axId val="113708956"/>
      </c:line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max val="48"/>
          <c:min val="30"/>
        </c:scaling>
        <c:delete val="0"/>
        <c:axPos val="l"/>
        <c:title>
          <c:tx>
            <c:rich>
              <a:bodyPr rot="0" spcFirstLastPara="0" vertOverflow="ellipsis" vert="horz"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6"/>
      </c:valAx>
      <c:catAx>
        <c:axId val="52817230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13708956"/>
        <c:crosses val="autoZero"/>
        <c:auto val="1"/>
        <c:lblAlgn val="ctr"/>
        <c:lblOffset val="100"/>
        <c:noMultiLvlLbl val="0"/>
      </c:catAx>
      <c:valAx>
        <c:axId val="113708956"/>
        <c:scaling>
          <c:orientation val="minMax"/>
          <c:max val="0.48"/>
          <c:min val="0.3"/>
        </c:scaling>
        <c:delete val="1"/>
        <c:axPos val="r"/>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28172304"/>
        <c:crosses val="max"/>
        <c:crossBetween val="between"/>
        <c:majorUnit val="0.06"/>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27984580171064"/>
          <c:y val="0.14726918075422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年全国城市人均公园绿地面积</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27361111111111"/>
          <c:y val="0.0102006120367222"/>
        </c:manualLayout>
      </c:layout>
      <c:overlay val="0"/>
      <c:spPr>
        <a:noFill/>
        <a:ln>
          <a:noFill/>
        </a:ln>
        <a:effectLst/>
      </c:spPr>
    </c:title>
    <c:autoTitleDeleted val="0"/>
    <c:plotArea>
      <c:layout>
        <c:manualLayout>
          <c:layoutTarget val="inner"/>
          <c:xMode val="edge"/>
          <c:yMode val="edge"/>
          <c:x val="0.0939722222222222"/>
          <c:y val="0.249262536873156"/>
          <c:w val="0.901861111111111"/>
          <c:h val="0.598967551622419"/>
        </c:manualLayout>
      </c:layout>
      <c:barChart>
        <c:barDir val="col"/>
        <c:grouping val="clustered"/>
        <c:varyColors val="0"/>
        <c:ser>
          <c:idx val="1"/>
          <c:order val="0"/>
          <c:tx>
            <c:strRef>
              <c:f>"城市人均公园绿地面积"</c:f>
              <c:strCache>
                <c:ptCount val="1"/>
                <c:pt idx="0">
                  <c:v>城市人均公园绿地面积</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'[公报示例.xlsx]第六部分-建成区绿地率'!$A$4:$A$13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[公报示例.xlsx]Sheet2!$B$4:$B$13</c:f>
              <c:numCache>
                <c:formatCode>0.00_);[Red]\(0.00\)</c:formatCode>
                <c:ptCount val="10"/>
                <c:pt idx="0">
                  <c:v>12.26</c:v>
                </c:pt>
                <c:pt idx="1">
                  <c:v>12.64</c:v>
                </c:pt>
                <c:pt idx="2">
                  <c:v>13.08</c:v>
                </c:pt>
                <c:pt idx="3">
                  <c:v>13.35</c:v>
                </c:pt>
                <c:pt idx="4">
                  <c:v>13.7</c:v>
                </c:pt>
                <c:pt idx="5">
                  <c:v>14.01</c:v>
                </c:pt>
                <c:pt idx="6">
                  <c:v>14.11</c:v>
                </c:pt>
                <c:pt idx="7">
                  <c:v>14.3552587740349</c:v>
                </c:pt>
                <c:pt idx="8">
                  <c:v>14.7762910999958</c:v>
                </c:pt>
                <c:pt idx="9">
                  <c:v>14.87</c:v>
                </c:pt>
              </c:numCache>
            </c:numRef>
          </c:val>
        </c:ser>
        <c:dLbls>
          <c:showLegendKey val="0"/>
          <c:showVal val="1"/>
          <c:showCatName val="0"/>
          <c:showSerName val="0"/>
          <c:showPercent val="0"/>
          <c:showBubbleSize val="0"/>
        </c:dLbls>
        <c:gapWidth val="219"/>
        <c:overlap val="-27"/>
        <c:axId val="784184473"/>
        <c:axId val="881424677"/>
      </c:bar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max val="15"/>
          <c:min val="10"/>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atin typeface="+mn-ea"/>
                    <a:ea typeface="+mn-ea"/>
                  </a:rPr>
                  <a:t>平方米</a:t>
                </a:r>
                <a:endParaRPr>
                  <a:latin typeface="+mn-ea"/>
                  <a:ea typeface="+mn-ea"/>
                </a:endParaRPr>
              </a:p>
            </c:rich>
          </c:tx>
          <c:layout/>
          <c:overlay val="0"/>
          <c:spPr>
            <a:noFill/>
            <a:ln>
              <a:noFill/>
            </a:ln>
            <a:effectLst/>
          </c:spPr>
        </c:title>
        <c:numFmt formatCode="General"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1"/>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2021</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年全国分省（区、市）和新疆兵团城市人均公园绿地面积</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30458850578822"/>
          <c:y val="0.00902527075812274"/>
        </c:manualLayout>
      </c:layout>
      <c:overlay val="0"/>
      <c:spPr>
        <a:noFill/>
        <a:ln>
          <a:noFill/>
        </a:ln>
        <a:effectLst/>
      </c:spPr>
    </c:title>
    <c:autoTitleDeleted val="0"/>
    <c:plotArea>
      <c:layout>
        <c:manualLayout>
          <c:layoutTarget val="inner"/>
          <c:xMode val="edge"/>
          <c:yMode val="edge"/>
          <c:x val="0.0840194264569843"/>
          <c:y val="0.302977739230992"/>
          <c:w val="0.890541165587419"/>
          <c:h val="0.425672159583695"/>
        </c:manualLayout>
      </c:layout>
      <c:barChart>
        <c:barDir val="col"/>
        <c:grouping val="clustered"/>
        <c:varyColors val="0"/>
        <c:ser>
          <c:idx val="0"/>
          <c:order val="0"/>
          <c:tx>
            <c:strRef>
              <c:f>"城市人均公园绿地面积"</c:f>
              <c:strCache>
                <c:ptCount val="1"/>
                <c:pt idx="0">
                  <c:v>城市人均公园绿地面积</c:v>
                </c:pt>
              </c:strCache>
            </c:strRef>
          </c:tx>
          <c:spPr>
            <a:solidFill>
              <a:srgbClr val="C00000"/>
            </a:solidFill>
            <a:ln>
              <a:noFill/>
            </a:ln>
            <a:effectLst/>
          </c:spPr>
          <c:invertIfNegative val="0"/>
          <c:dLbls>
            <c:numFmt formatCode="#,##0.0_);[Red]\(#,##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'[公报示例.xlsx]第六部分-人均公园绿地面积'!$B$23:$B$54</c:f>
              <c:numCache>
                <c:formatCode>#,##0.00</c:formatCode>
                <c:ptCount val="32"/>
                <c:pt idx="0">
                  <c:v>16.62</c:v>
                </c:pt>
                <c:pt idx="1">
                  <c:v>9.74198558434872</c:v>
                </c:pt>
                <c:pt idx="2">
                  <c:v>15.1382203665275</c:v>
                </c:pt>
                <c:pt idx="3">
                  <c:v>13.6632435918104</c:v>
                </c:pt>
                <c:pt idx="4">
                  <c:v>19.9555107958255</c:v>
                </c:pt>
                <c:pt idx="5">
                  <c:v>13.4417152649548</c:v>
                </c:pt>
                <c:pt idx="6">
                  <c:v>13.5489012931283</c:v>
                </c:pt>
                <c:pt idx="7">
                  <c:v>13.598362246842</c:v>
                </c:pt>
                <c:pt idx="8">
                  <c:v>9.02354755907979</c:v>
                </c:pt>
                <c:pt idx="9">
                  <c:v>15.6041967523949</c:v>
                </c:pt>
                <c:pt idx="10">
                  <c:v>12.866860684485</c:v>
                </c:pt>
                <c:pt idx="11">
                  <c:v>14.4909963862172</c:v>
                </c:pt>
                <c:pt idx="12">
                  <c:v>15.0099915554805</c:v>
                </c:pt>
                <c:pt idx="13">
                  <c:v>16.2215992023928</c:v>
                </c:pt>
                <c:pt idx="14">
                  <c:v>17.9446346794465</c:v>
                </c:pt>
                <c:pt idx="15">
                  <c:v>15.0803921425495</c:v>
                </c:pt>
                <c:pt idx="16">
                  <c:v>14.628591907477</c:v>
                </c:pt>
                <c:pt idx="17">
                  <c:v>12.6138026045593</c:v>
                </c:pt>
                <c:pt idx="18">
                  <c:v>17.740774996746</c:v>
                </c:pt>
                <c:pt idx="19">
                  <c:v>13.8049365607981</c:v>
                </c:pt>
                <c:pt idx="20">
                  <c:v>12.9558657685391</c:v>
                </c:pt>
                <c:pt idx="21">
                  <c:v>16.667860519235</c:v>
                </c:pt>
                <c:pt idx="22">
                  <c:v>13.7323509894876</c:v>
                </c:pt>
                <c:pt idx="23">
                  <c:v>16.0111232495779</c:v>
                </c:pt>
                <c:pt idx="24">
                  <c:v>12.9401355495225</c:v>
                </c:pt>
                <c:pt idx="25">
                  <c:v>13.3270278605942</c:v>
                </c:pt>
                <c:pt idx="26">
                  <c:v>12.9010658963349</c:v>
                </c:pt>
                <c:pt idx="27">
                  <c:v>14.877207192613</c:v>
                </c:pt>
                <c:pt idx="28">
                  <c:v>12.8086012640835</c:v>
                </c:pt>
                <c:pt idx="29">
                  <c:v>20.4839102174122</c:v>
                </c:pt>
                <c:pt idx="30">
                  <c:v>14.4631217636443</c:v>
                </c:pt>
                <c:pt idx="31">
                  <c:v>22.8084630440861</c:v>
                </c:pt>
              </c:numCache>
            </c:numRef>
          </c:val>
        </c:ser>
        <c:dLbls>
          <c:showLegendKey val="0"/>
          <c:showVal val="1"/>
          <c:showCatName val="0"/>
          <c:showSerName val="0"/>
          <c:showPercent val="0"/>
          <c:showBubbleSize val="0"/>
        </c:dLbls>
        <c:gapWidth val="219"/>
        <c:overlap val="-27"/>
        <c:axId val="124274108"/>
        <c:axId val="339913684"/>
      </c:barChart>
      <c:lineChart>
        <c:grouping val="standard"/>
        <c:varyColors val="0"/>
        <c:ser>
          <c:idx val="1"/>
          <c:order val="1"/>
          <c:tx>
            <c:strRef>
              <c:f>"全国城市人均公园绿地面积14.87平方米"</c:f>
              <c:strCache>
                <c:ptCount val="1"/>
                <c:pt idx="0">
                  <c:v>全国城市人均公园绿地面积14.87平方米</c:v>
                </c:pt>
              </c:strCache>
            </c:strRef>
          </c:tx>
          <c:spPr>
            <a:ln w="15875" cap="rnd">
              <a:solidFill>
                <a:srgbClr val="002060"/>
              </a:solidFill>
              <a:prstDash val="dash"/>
              <a:round/>
            </a:ln>
            <a:effectLst/>
            <a:sp3d contourW="15875"/>
          </c:spPr>
          <c:marker>
            <c:symbol val="none"/>
          </c:marker>
          <c:dLbls>
            <c:delete val="1"/>
          </c:dLbls>
          <c:cat>
            <c:strRef>
              <c:f>'[公报示例.xlsx]第六部分-建成区绿地面积'!$A$31:$A$62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'[公报示例.xlsx]第六部分-人均公园绿地面积'!$C$23:$C$54</c:f>
              <c:numCache>
                <c:formatCode>#,##0.00</c:formatCode>
                <c:ptCount val="32"/>
                <c:pt idx="0">
                  <c:v>14.87</c:v>
                </c:pt>
                <c:pt idx="1">
                  <c:v>14.87</c:v>
                </c:pt>
                <c:pt idx="2">
                  <c:v>14.87</c:v>
                </c:pt>
                <c:pt idx="3">
                  <c:v>14.87</c:v>
                </c:pt>
                <c:pt idx="4">
                  <c:v>14.87</c:v>
                </c:pt>
                <c:pt idx="5">
                  <c:v>14.87</c:v>
                </c:pt>
                <c:pt idx="6">
                  <c:v>14.87</c:v>
                </c:pt>
                <c:pt idx="7">
                  <c:v>14.87</c:v>
                </c:pt>
                <c:pt idx="8">
                  <c:v>14.87</c:v>
                </c:pt>
                <c:pt idx="9">
                  <c:v>14.87</c:v>
                </c:pt>
                <c:pt idx="10">
                  <c:v>14.87</c:v>
                </c:pt>
                <c:pt idx="11">
                  <c:v>14.87</c:v>
                </c:pt>
                <c:pt idx="12">
                  <c:v>14.87</c:v>
                </c:pt>
                <c:pt idx="13">
                  <c:v>14.87</c:v>
                </c:pt>
                <c:pt idx="14">
                  <c:v>14.87</c:v>
                </c:pt>
                <c:pt idx="15">
                  <c:v>14.87</c:v>
                </c:pt>
                <c:pt idx="16">
                  <c:v>14.87</c:v>
                </c:pt>
                <c:pt idx="17">
                  <c:v>14.87</c:v>
                </c:pt>
                <c:pt idx="18">
                  <c:v>14.87</c:v>
                </c:pt>
                <c:pt idx="19">
                  <c:v>14.87</c:v>
                </c:pt>
                <c:pt idx="20">
                  <c:v>14.87</c:v>
                </c:pt>
                <c:pt idx="21">
                  <c:v>14.87</c:v>
                </c:pt>
                <c:pt idx="22">
                  <c:v>14.87</c:v>
                </c:pt>
                <c:pt idx="23">
                  <c:v>14.87</c:v>
                </c:pt>
                <c:pt idx="24">
                  <c:v>14.87</c:v>
                </c:pt>
                <c:pt idx="25">
                  <c:v>14.87</c:v>
                </c:pt>
                <c:pt idx="26">
                  <c:v>14.87</c:v>
                </c:pt>
                <c:pt idx="27">
                  <c:v>14.87</c:v>
                </c:pt>
                <c:pt idx="28">
                  <c:v>14.87</c:v>
                </c:pt>
                <c:pt idx="29">
                  <c:v>14.87</c:v>
                </c:pt>
                <c:pt idx="30">
                  <c:v>14.87</c:v>
                </c:pt>
                <c:pt idx="31">
                  <c:v>14.87</c:v>
                </c:pt>
              </c:numCache>
            </c:numRef>
          </c:val>
          <c:smooth val="0"/>
        </c:ser>
        <c:dLbls>
          <c:showLegendKey val="0"/>
          <c:showVal val="0"/>
          <c:showCatName val="0"/>
          <c:showSerName val="0"/>
          <c:showPercent val="0"/>
          <c:showBubbleSize val="0"/>
        </c:dLbls>
        <c:marker val="0"/>
        <c:smooth val="0"/>
        <c:axId val="528172304"/>
        <c:axId val="113708956"/>
      </c:line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39913684"/>
        <c:crosses val="autoZero"/>
        <c:auto val="1"/>
        <c:lblAlgn val="ctr"/>
        <c:lblOffset val="100"/>
        <c:noMultiLvlLbl val="0"/>
      </c:catAx>
      <c:valAx>
        <c:axId val="339913684"/>
        <c:scaling>
          <c:orientation val="minMax"/>
          <c:max val="25"/>
          <c:min val="5"/>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平方米</a:t>
                </a:r>
                <a:endPar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majorUnit val="5"/>
      </c:valAx>
      <c:catAx>
        <c:axId val="52817230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13708956"/>
        <c:crosses val="autoZero"/>
        <c:auto val="1"/>
        <c:lblAlgn val="ctr"/>
        <c:lblOffset val="100"/>
        <c:noMultiLvlLbl val="0"/>
      </c:catAx>
      <c:valAx>
        <c:axId val="113708956"/>
        <c:scaling>
          <c:orientation val="minMax"/>
          <c:max val="0.48"/>
          <c:min val="0.3"/>
        </c:scaling>
        <c:delete val="1"/>
        <c:axPos val="r"/>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28172304"/>
        <c:crosses val="max"/>
        <c:crossBetween val="between"/>
        <c:majorUnit val="0.06"/>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162812210915819"/>
          <c:y val="0.16644993498049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年全国市政设施固定资产投资及同比变化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96461368852816"/>
          <c:y val="0.00959079283887468"/>
        </c:manualLayout>
      </c:layout>
      <c:overlay val="0"/>
      <c:spPr>
        <a:noFill/>
        <a:ln>
          <a:noFill/>
        </a:ln>
        <a:effectLst/>
      </c:spPr>
    </c:title>
    <c:autoTitleDeleted val="0"/>
    <c:plotArea>
      <c:layout>
        <c:manualLayout>
          <c:layoutTarget val="inner"/>
          <c:xMode val="edge"/>
          <c:yMode val="edge"/>
          <c:x val="0.0745602644315901"/>
          <c:y val="0.247442455242967"/>
          <c:w val="0.863392751741235"/>
          <c:h val="0.620971867007673"/>
        </c:manualLayout>
      </c:layout>
      <c:barChart>
        <c:barDir val="col"/>
        <c:grouping val="clustered"/>
        <c:varyColors val="0"/>
        <c:ser>
          <c:idx val="1"/>
          <c:order val="0"/>
          <c:tx>
            <c:strRef>
              <c:f>"市政设施投资"</c:f>
              <c:strCache>
                <c:ptCount val="1"/>
                <c:pt idx="0">
                  <c:v>市政设施投资</c:v>
                </c:pt>
              </c:strCache>
            </c:strRef>
          </c:tx>
          <c:spPr>
            <a:solidFill>
              <a:srgbClr val="C00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[公报示例.xlsx]市政投资!$A$4:$A$13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[公报示例.xlsx]市政投资!$D$4:$D$13</c:f>
              <c:numCache>
                <c:formatCode>0.00_ </c:formatCode>
                <c:ptCount val="10"/>
                <c:pt idx="0">
                  <c:v>1.92811</c:v>
                </c:pt>
                <c:pt idx="1">
                  <c:v>2.01834</c:v>
                </c:pt>
                <c:pt idx="2">
                  <c:v>1.98179467</c:v>
                </c:pt>
                <c:pt idx="3">
                  <c:v>1.93042546</c:v>
                </c:pt>
                <c:pt idx="4">
                  <c:v>2.0854515161</c:v>
                </c:pt>
                <c:pt idx="5">
                  <c:v>2.29617956</c:v>
                </c:pt>
                <c:pt idx="6">
                  <c:v>2.3149144582</c:v>
                </c:pt>
                <c:pt idx="7">
                  <c:v>2.3203031012</c:v>
                </c:pt>
                <c:pt idx="8">
                  <c:v>2.61682123545591</c:v>
                </c:pt>
                <c:pt idx="9">
                  <c:v>2.74588662</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[公报示例.xlsx]市政投资!$A$4:$A$13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[公报示例.xlsx]市政投资!$E$4:$E$13</c:f>
              <c:numCache>
                <c:formatCode>0.00%</c:formatCode>
                <c:ptCount val="10"/>
                <c:pt idx="0">
                  <c:v>0.148108230418369</c:v>
                </c:pt>
                <c:pt idx="1">
                  <c:v>0.0467971225708077</c:v>
                </c:pt>
                <c:pt idx="2">
                  <c:v>-0.0181066272283162</c:v>
                </c:pt>
                <c:pt idx="3">
                  <c:v>-0.025920551093217</c:v>
                </c:pt>
                <c:pt idx="4">
                  <c:v>0.0803066781454489</c:v>
                </c:pt>
                <c:pt idx="5">
                  <c:v>0.101046724065819</c:v>
                </c:pt>
                <c:pt idx="6">
                  <c:v>0.00815916077573653</c:v>
                </c:pt>
                <c:pt idx="7">
                  <c:v>0.00232779357393209</c:v>
                </c:pt>
                <c:pt idx="8">
                  <c:v>0.127792844866931</c:v>
                </c:pt>
                <c:pt idx="9">
                  <c:v>0.0493214373207285</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万亿元</a:t>
                </a:r>
              </a:p>
            </c:rich>
          </c:tx>
          <c:layout>
            <c:manualLayout>
              <c:xMode val="edge"/>
              <c:yMode val="edge"/>
              <c:x val="0.00354149451068351"/>
              <c:y val="0.446921457683729"/>
            </c:manualLayout>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1"/>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80486111111111"/>
          <c:y val="0.13241522997011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lang="en-US" altLang="zh-CN" sz="1200">
                <a:latin typeface="Times New Roman" panose="02020603050405020304" charset="0"/>
                <a:cs typeface="Times New Roman" panose="02020603050405020304" charset="0"/>
              </a:rPr>
              <a:t>2021</a:t>
            </a:r>
            <a:r>
              <a:rPr altLang="en-US" sz="1200">
                <a:latin typeface="Times New Roman" panose="02020603050405020304" charset="0"/>
                <a:cs typeface="Times New Roman" panose="02020603050405020304" charset="0"/>
              </a:rPr>
              <a:t>年全国市政设施固定资产投资构成情况</a:t>
            </a:r>
            <a:endParaRPr lang="en-US" altLang="zh-CN" sz="1200">
              <a:latin typeface="Times New Roman" panose="02020603050405020304" charset="0"/>
              <a:cs typeface="Times New Roman" panose="02020603050405020304" charset="0"/>
            </a:endParaRPr>
          </a:p>
        </c:rich>
      </c:tx>
      <c:layout>
        <c:manualLayout>
          <c:xMode val="edge"/>
          <c:yMode val="edge"/>
          <c:x val="0.186721816639967"/>
          <c:y val="0.00692520775623269"/>
        </c:manualLayout>
      </c:layout>
      <c:overlay val="0"/>
      <c:spPr>
        <a:noFill/>
        <a:ln>
          <a:noFill/>
        </a:ln>
        <a:effectLst/>
      </c:spPr>
    </c:title>
    <c:autoTitleDeleted val="0"/>
    <c:plotArea>
      <c:layout>
        <c:manualLayout>
          <c:layoutTarget val="inner"/>
          <c:xMode val="edge"/>
          <c:yMode val="edge"/>
          <c:x val="0.193879067003417"/>
          <c:y val="0.181671283471837"/>
          <c:w val="0.42222552369633"/>
          <c:h val="0.656048014773776"/>
        </c:manualLayout>
      </c:layout>
      <c:pieChart>
        <c:varyColors val="1"/>
        <c:ser>
          <c:idx val="0"/>
          <c:order val="0"/>
          <c:spPr>
            <a:solidFill>
              <a:srgbClr val="EBF5F9"/>
            </a:solidFill>
            <a:ln w="3175">
              <a:solidFill>
                <a:schemeClr val="tx1"/>
              </a:solidFill>
            </a:ln>
          </c:spPr>
          <c:explosion val="0"/>
          <c:dPt>
            <c:idx val="0"/>
            <c:bubble3D val="0"/>
            <c:spPr>
              <a:solidFill>
                <a:srgbClr val="C5E0B4"/>
              </a:solidFill>
              <a:ln w="3175">
                <a:solidFill>
                  <a:schemeClr val="tx1"/>
                </a:solidFill>
              </a:ln>
              <a:effectLst/>
            </c:spPr>
          </c:dPt>
          <c:dPt>
            <c:idx val="1"/>
            <c:bubble3D val="0"/>
            <c:spPr>
              <a:solidFill>
                <a:srgbClr val="385723"/>
              </a:solidFill>
              <a:ln w="3175">
                <a:solidFill>
                  <a:schemeClr val="tx1"/>
                </a:solidFill>
              </a:ln>
              <a:effectLst/>
            </c:spPr>
          </c:dPt>
          <c:dPt>
            <c:idx val="2"/>
            <c:bubble3D val="0"/>
            <c:spPr>
              <a:solidFill>
                <a:srgbClr val="E2F0D9"/>
              </a:solidFill>
              <a:ln w="3175">
                <a:solidFill>
                  <a:schemeClr val="tx1"/>
                </a:solidFill>
              </a:ln>
              <a:effectLst/>
            </c:spPr>
          </c:dPt>
          <c:dPt>
            <c:idx val="3"/>
            <c:bubble3D val="0"/>
            <c:spPr>
              <a:solidFill>
                <a:srgbClr val="27918B"/>
              </a:solidFill>
              <a:ln w="3175">
                <a:solidFill>
                  <a:schemeClr val="tx1"/>
                </a:solidFill>
              </a:ln>
              <a:effectLst/>
            </c:spPr>
          </c:dPt>
          <c:dPt>
            <c:idx val="4"/>
            <c:bubble3D val="0"/>
            <c:spPr>
              <a:solidFill>
                <a:srgbClr val="F8CBAD"/>
              </a:solidFill>
              <a:ln w="3175">
                <a:solidFill>
                  <a:schemeClr val="tx1"/>
                </a:solidFill>
              </a:ln>
              <a:effectLst/>
            </c:spPr>
          </c:dPt>
          <c:dPt>
            <c:idx val="5"/>
            <c:bubble3D val="0"/>
            <c:spPr>
              <a:solidFill>
                <a:srgbClr val="ED7D31"/>
              </a:solidFill>
              <a:ln w="3175">
                <a:solidFill>
                  <a:schemeClr val="tx1"/>
                </a:solidFill>
              </a:ln>
              <a:effectLst/>
            </c:spPr>
          </c:dPt>
          <c:dPt>
            <c:idx val="6"/>
            <c:bubble3D val="0"/>
            <c:spPr>
              <a:solidFill>
                <a:srgbClr val="FFF2CC"/>
              </a:solidFill>
              <a:ln w="3175">
                <a:solidFill>
                  <a:schemeClr val="tx1"/>
                </a:solidFill>
              </a:ln>
              <a:effectLst/>
            </c:spPr>
          </c:dPt>
          <c:dPt>
            <c:idx val="7"/>
            <c:bubble3D val="0"/>
            <c:spPr>
              <a:solidFill>
                <a:srgbClr val="EBF5E5"/>
              </a:solidFill>
              <a:ln w="3175">
                <a:solidFill>
                  <a:schemeClr val="tx1"/>
                </a:solidFill>
              </a:ln>
              <a:effectLst/>
            </c:spPr>
          </c:dPt>
          <c:dPt>
            <c:idx val="8"/>
            <c:bubble3D val="0"/>
            <c:spPr>
              <a:solidFill>
                <a:srgbClr val="548235"/>
              </a:solidFill>
              <a:ln w="3175">
                <a:solidFill>
                  <a:schemeClr val="tx1"/>
                </a:solidFill>
              </a:ln>
              <a:effectLst/>
            </c:spPr>
          </c:dPt>
          <c:dPt>
            <c:idx val="9"/>
            <c:bubble3D val="0"/>
            <c:spPr>
              <a:solidFill>
                <a:srgbClr val="A2E6E3"/>
              </a:solidFill>
              <a:ln w="3175">
                <a:solidFill>
                  <a:schemeClr val="tx1"/>
                </a:solidFill>
              </a:ln>
              <a:effectLst/>
            </c:spPr>
          </c:dPt>
          <c:dLbls>
            <c:dLbl>
              <c:idx val="0"/>
              <c:layout>
                <c:manualLayout>
                  <c:x val="0.0293837270750705"/>
                  <c:y val="-0.036932490044002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53198671929557"/>
                      <c:h val="0.152576278143683"/>
                    </c:manualLayout>
                  </c15:layout>
                </c:ext>
              </c:extLst>
            </c:dLbl>
            <c:dLbl>
              <c:idx val="1"/>
              <c:layout>
                <c:manualLayout>
                  <c:x val="0.0339475313543056"/>
                  <c:y val="0.040287526578098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638163905099619"/>
                  <c:y val="0.036586210933464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584252525017516"/>
                  <c:y val="-0.036913631222309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182719760960001"/>
                  <c:y val="0.166617800010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3766524797259"/>
                      <c:h val="0.143904945185288"/>
                    </c:manualLayout>
                  </c15:layout>
                </c:ext>
              </c:extLst>
            </c:dLbl>
            <c:dLbl>
              <c:idx val="5"/>
              <c:layout>
                <c:manualLayout>
                  <c:x val="-0.163980867506942"/>
                  <c:y val="0.066219198078447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7764857881137"/>
                      <c:h val="0.162889836212699"/>
                    </c:manualLayout>
                  </c15:layout>
                </c:ext>
              </c:extLst>
            </c:dLbl>
            <c:dLbl>
              <c:idx val="6"/>
              <c:layout>
                <c:manualLayout>
                  <c:x val="0.0542167263946962"/>
                  <c:y val="0.029122615550515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017023280626687"/>
                  <c:y val="-0.0060218336991316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8"/>
              <c:layout>
                <c:manualLayout>
                  <c:x val="0.0204669094883243"/>
                  <c:y val="0.0076865137666185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53250833840022"/>
                      <c:h val="0.187466580669323"/>
                    </c:manualLayout>
                  </c15:layout>
                </c:ext>
              </c:extLst>
            </c:dLbl>
            <c:dLbl>
              <c:idx val="9"/>
              <c:layout>
                <c:manualLayout>
                  <c:x val="0.0330856884869846"/>
                  <c:y val="0.00093459733359981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[公报示例.xlsx]市政投资!$C$66:$L$67</c:f>
              <c:multiLvlStrCache>
                <c:ptCount val="10"/>
                <c:lvl/>
                <c:lvl>
                  <c:pt idx="0">
                    <c:v>供水</c:v>
                  </c:pt>
                  <c:pt idx="1">
                    <c:v>燃气</c:v>
                  </c:pt>
                  <c:pt idx="2">
                    <c:v>集中供热</c:v>
                  </c:pt>
                  <c:pt idx="3">
                    <c:v>轨道交通</c:v>
                  </c:pt>
                  <c:pt idx="4">
                    <c:v>道路桥梁</c:v>
                  </c:pt>
                  <c:pt idx="5">
                    <c:v>地下综合管廊</c:v>
                  </c:pt>
                  <c:pt idx="6">
                    <c:v>排水</c:v>
                  </c:pt>
                  <c:pt idx="7">
                    <c:v>园林绿化</c:v>
                  </c:pt>
                  <c:pt idx="8">
                    <c:v>市容环境    卫生</c:v>
                  </c:pt>
                  <c:pt idx="9">
                    <c:v>其他</c:v>
                  </c:pt>
                </c:lvl>
              </c:multiLvlStrCache>
            </c:multiLvlStrRef>
          </c:cat>
          <c:val>
            <c:numRef>
              <c:f>[公报示例.xlsx]市政投资!$C$70:$L$70</c:f>
              <c:numCache>
                <c:formatCode>General</c:formatCode>
                <c:ptCount val="10"/>
                <c:pt idx="0">
                  <c:v>10257907</c:v>
                </c:pt>
                <c:pt idx="1">
                  <c:v>3051501</c:v>
                </c:pt>
                <c:pt idx="2">
                  <c:v>5582929</c:v>
                </c:pt>
                <c:pt idx="3">
                  <c:v>63487293</c:v>
                </c:pt>
                <c:pt idx="4">
                  <c:v>101151567</c:v>
                </c:pt>
                <c:pt idx="5">
                  <c:v>5689232</c:v>
                </c:pt>
                <c:pt idx="6">
                  <c:v>27147391</c:v>
                </c:pt>
                <c:pt idx="7">
                  <c:v>20031098</c:v>
                </c:pt>
                <c:pt idx="8">
                  <c:v>9969877</c:v>
                </c:pt>
                <c:pt idx="9">
                  <c:v>28219867</c:v>
                </c:pt>
              </c:numCache>
            </c:numRef>
          </c:val>
        </c:ser>
        <c:dLbls>
          <c:showLegendKey val="0"/>
          <c:showVal val="0"/>
          <c:showCatName val="0"/>
          <c:showSerName val="0"/>
          <c:showPercent val="0"/>
          <c:showBubbleSize val="0"/>
          <c:showLeaderLines val="1"/>
        </c:dLbls>
        <c:firstSliceAng val="127"/>
      </c:pieChart>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2021</a:t>
            </a:r>
            <a:r>
              <a:rPr alt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年全国分省（区、市）和新疆兵团市政设施固定资产投资</a:t>
            </a:r>
            <a:endParaRPr lang="en-US" altLang="zh-CN"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24605659933017"/>
          <c:y val="0.00907715582450832"/>
        </c:manualLayout>
      </c:layout>
      <c:overlay val="0"/>
      <c:spPr>
        <a:noFill/>
        <a:ln>
          <a:noFill/>
        </a:ln>
        <a:effectLst/>
      </c:spPr>
    </c:title>
    <c:autoTitleDeleted val="0"/>
    <c:plotArea>
      <c:layout>
        <c:manualLayout>
          <c:layoutTarget val="inner"/>
          <c:xMode val="edge"/>
          <c:yMode val="edge"/>
          <c:x val="0.102108179737381"/>
          <c:y val="0.33464447806354"/>
          <c:w val="0.877773762197326"/>
          <c:h val="0.362299546142209"/>
        </c:manualLayout>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0" vertOverflow="ellipsis" vert="eaVert"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[公报示例.xlsx]市政投资!$A$31:$A$62</c:f>
              <c:strCache>
                <c:ptCount val="32"/>
                <c:pt idx="0">
                  <c:v>北京</c:v>
                </c:pt>
                <c:pt idx="1">
                  <c:v>天津</c:v>
                </c:pt>
                <c:pt idx="2">
                  <c:v>河北</c:v>
                </c:pt>
                <c:pt idx="3">
                  <c:v>山西</c:v>
                </c:pt>
                <c:pt idx="4">
                  <c:v>内蒙古</c:v>
                </c:pt>
                <c:pt idx="5">
                  <c:v>辽宁</c:v>
                </c:pt>
                <c:pt idx="6">
                  <c:v>吉林</c:v>
                </c:pt>
                <c:pt idx="7">
                  <c:v>黑龙江</c:v>
                </c:pt>
                <c:pt idx="8">
                  <c:v>上海</c:v>
                </c:pt>
                <c:pt idx="9">
                  <c:v>江苏</c:v>
                </c:pt>
                <c:pt idx="10">
                  <c:v>浙江</c:v>
                </c:pt>
                <c:pt idx="11">
                  <c:v>安徽</c:v>
                </c:pt>
                <c:pt idx="12">
                  <c:v>福建</c:v>
                </c:pt>
                <c:pt idx="13">
                  <c:v>江西</c:v>
                </c:pt>
                <c:pt idx="14">
                  <c:v>山东</c:v>
                </c:pt>
                <c:pt idx="15">
                  <c:v>河南</c:v>
                </c:pt>
                <c:pt idx="16">
                  <c:v>湖北</c:v>
                </c:pt>
                <c:pt idx="17">
                  <c:v>湖南</c:v>
                </c:pt>
                <c:pt idx="18">
                  <c:v>广东</c:v>
                </c:pt>
                <c:pt idx="19">
                  <c:v>广西</c:v>
                </c:pt>
                <c:pt idx="20">
                  <c:v>海南</c:v>
                </c:pt>
                <c:pt idx="21">
                  <c:v>重庆</c:v>
                </c:pt>
                <c:pt idx="22">
                  <c:v>四川</c:v>
                </c:pt>
                <c:pt idx="23">
                  <c:v>贵州</c:v>
                </c:pt>
                <c:pt idx="24">
                  <c:v>云南</c:v>
                </c:pt>
                <c:pt idx="25">
                  <c:v>西藏</c:v>
                </c:pt>
                <c:pt idx="26">
                  <c:v>陕西</c:v>
                </c:pt>
                <c:pt idx="27">
                  <c:v>甘肃</c:v>
                </c:pt>
                <c:pt idx="28">
                  <c:v>青海</c:v>
                </c:pt>
                <c:pt idx="29">
                  <c:v>宁夏</c:v>
                </c:pt>
                <c:pt idx="30">
                  <c:v>新疆</c:v>
                </c:pt>
                <c:pt idx="31">
                  <c:v>新疆兵团</c:v>
                </c:pt>
              </c:strCache>
            </c:strRef>
          </c:cat>
          <c:val>
            <c:numRef>
              <c:f>[公报示例.xlsx]市政投资!$D$31:$D$62</c:f>
              <c:numCache>
                <c:formatCode>0_ </c:formatCode>
                <c:ptCount val="32"/>
                <c:pt idx="0">
                  <c:v>1310.2005</c:v>
                </c:pt>
                <c:pt idx="1">
                  <c:v>460.9025</c:v>
                </c:pt>
                <c:pt idx="2">
                  <c:v>766.8256</c:v>
                </c:pt>
                <c:pt idx="3">
                  <c:v>386.4104</c:v>
                </c:pt>
                <c:pt idx="4">
                  <c:v>222.345</c:v>
                </c:pt>
                <c:pt idx="5">
                  <c:v>350.5679</c:v>
                </c:pt>
                <c:pt idx="6">
                  <c:v>315.8003</c:v>
                </c:pt>
                <c:pt idx="7">
                  <c:v>324.5277</c:v>
                </c:pt>
                <c:pt idx="8">
                  <c:v>462.091</c:v>
                </c:pt>
                <c:pt idx="9">
                  <c:v>2055.7924</c:v>
                </c:pt>
                <c:pt idx="10">
                  <c:v>2263.3467</c:v>
                </c:pt>
                <c:pt idx="11">
                  <c:v>1162.0702</c:v>
                </c:pt>
                <c:pt idx="12">
                  <c:v>859.6462</c:v>
                </c:pt>
                <c:pt idx="13">
                  <c:v>1268.786</c:v>
                </c:pt>
                <c:pt idx="14">
                  <c:v>1697.2629</c:v>
                </c:pt>
                <c:pt idx="15">
                  <c:v>1298.5505</c:v>
                </c:pt>
                <c:pt idx="16">
                  <c:v>1487.055</c:v>
                </c:pt>
                <c:pt idx="17">
                  <c:v>1226.9099</c:v>
                </c:pt>
                <c:pt idx="18">
                  <c:v>2256.4469</c:v>
                </c:pt>
                <c:pt idx="19">
                  <c:v>598.3668</c:v>
                </c:pt>
                <c:pt idx="20">
                  <c:v>113.8693</c:v>
                </c:pt>
                <c:pt idx="21">
                  <c:v>1308.9719</c:v>
                </c:pt>
                <c:pt idx="22">
                  <c:v>1849.894</c:v>
                </c:pt>
                <c:pt idx="23">
                  <c:v>1001.1693</c:v>
                </c:pt>
                <c:pt idx="24">
                  <c:v>436.8305</c:v>
                </c:pt>
                <c:pt idx="25">
                  <c:v>39.5008</c:v>
                </c:pt>
                <c:pt idx="26">
                  <c:v>1170.539</c:v>
                </c:pt>
                <c:pt idx="27">
                  <c:v>291.5902</c:v>
                </c:pt>
                <c:pt idx="28">
                  <c:v>47.5113</c:v>
                </c:pt>
                <c:pt idx="29">
                  <c:v>62.7587</c:v>
                </c:pt>
                <c:pt idx="30">
                  <c:v>300.8934</c:v>
                </c:pt>
                <c:pt idx="31">
                  <c:v>61.4334</c:v>
                </c:pt>
              </c:numCache>
            </c:numRef>
          </c:val>
        </c:ser>
        <c:dLbls>
          <c:showLegendKey val="0"/>
          <c:showVal val="1"/>
          <c:showCatName val="0"/>
          <c:showSerName val="0"/>
          <c:showPercent val="0"/>
          <c:showBubbleSize val="0"/>
        </c:dLbls>
        <c:gapWidth val="219"/>
        <c:overlap val="-27"/>
        <c:axId val="124274108"/>
        <c:axId val="339913684"/>
      </c:barChart>
      <c:catAx>
        <c:axId val="124274108"/>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0" spcFirstLastPara="0" vertOverflow="ellipsis" vert="mongolianVert" wrap="square" anchor="ctr" anchorCtr="1"/>
          <a:lstStyle/>
          <a:p>
            <a:pPr>
              <a:defRPr lang="zh-CN" sz="900" b="0" i="0" u="none" strike="noStrike" kern="1200" baseline="0">
                <a:solidFill>
                  <a:sysClr val="windowText" lastClr="000000"/>
                </a:solidFill>
                <a:latin typeface="+mn-lt"/>
                <a:ea typeface="+mn-ea"/>
                <a:cs typeface="+mn-cs"/>
              </a:defRPr>
            </a:pPr>
          </a:p>
        </c:txPr>
        <c:crossAx val="339913684"/>
        <c:crosses val="autoZero"/>
        <c:auto val="1"/>
        <c:lblAlgn val="ctr"/>
        <c:lblOffset val="100"/>
        <c:noMultiLvlLbl val="0"/>
      </c:catAx>
      <c:valAx>
        <c:axId val="339913684"/>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mn-lt"/>
                    <a:ea typeface="+mn-ea"/>
                    <a:cs typeface="+mn-cs"/>
                  </a:defRPr>
                </a:pPr>
                <a:r>
                  <a:t>亿元</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427410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rPr>
              <a:t>2012-2021</a:t>
            </a:r>
            <a:r>
              <a:rPr alt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年城市市政设施实际到位资金合计及同比变化</a:t>
            </a:r>
            <a:endParaRPr lang="en-US" altLang="zh-CN"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26338527788698"/>
          <c:y val="0.00867804454729534"/>
        </c:manualLayout>
      </c:layout>
      <c:overlay val="0"/>
      <c:spPr>
        <a:noFill/>
        <a:ln>
          <a:noFill/>
        </a:ln>
        <a:effectLst/>
      </c:spPr>
    </c:title>
    <c:autoTitleDeleted val="0"/>
    <c:plotArea>
      <c:layout>
        <c:manualLayout>
          <c:layoutTarget val="inner"/>
          <c:xMode val="edge"/>
          <c:yMode val="edge"/>
          <c:x val="0.117722222222222"/>
          <c:y val="0.26027397260274"/>
          <c:w val="0.783305555555555"/>
          <c:h val="0.621118721461187"/>
        </c:manualLayout>
      </c:layout>
      <c:barChart>
        <c:barDir val="col"/>
        <c:grouping val="clustered"/>
        <c:varyColors val="0"/>
        <c:ser>
          <c:idx val="1"/>
          <c:order val="0"/>
          <c:tx>
            <c:strRef>
              <c:f>"城市实际到位资金合计"</c:f>
              <c:strCache>
                <c:ptCount val="1"/>
                <c:pt idx="0">
                  <c:v>城市实际到位资金合计</c:v>
                </c:pt>
              </c:strCache>
            </c:strRef>
          </c:tx>
          <c:spPr>
            <a:solidFill>
              <a:srgbClr val="C00000"/>
            </a:solidFill>
            <a:ln>
              <a:noFill/>
            </a:ln>
            <a:effectLst/>
          </c:spPr>
          <c:invertIfNegative val="0"/>
          <c:dLbls>
            <c:dLbl>
              <c:idx val="9"/>
              <c:layout>
                <c:manualLayout>
                  <c:x val="0"/>
                  <c:y val="-0.025166329187156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'[公报示例.xlsx]城区人口 (3)'!$A$4:$A$13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'[公报示例.xlsx]城区人口 (3)'!$D$4:$D$13</c:f>
              <c:numCache>
                <c:formatCode>0.00_ </c:formatCode>
                <c:ptCount val="10"/>
                <c:pt idx="0">
                  <c:v>1.91519</c:v>
                </c:pt>
                <c:pt idx="1">
                  <c:v>1.98049</c:v>
                </c:pt>
                <c:pt idx="2">
                  <c:v>1.97444174</c:v>
                </c:pt>
                <c:pt idx="3">
                  <c:v>1.95819066</c:v>
                </c:pt>
                <c:pt idx="4">
                  <c:v>2.05100342</c:v>
                </c:pt>
                <c:pt idx="5">
                  <c:v>2.3315525</c:v>
                </c:pt>
                <c:pt idx="6">
                  <c:v>2.2307056006</c:v>
                </c:pt>
                <c:pt idx="7">
                  <c:v>2.4339268412</c:v>
                </c:pt>
                <c:pt idx="8">
                  <c:v>2.76366577606218</c:v>
                </c:pt>
                <c:pt idx="9">
                  <c:v>3.070765315</c:v>
                </c:pt>
              </c:numCache>
            </c:numRef>
          </c:val>
        </c:ser>
        <c:dLbls>
          <c:showLegendKey val="0"/>
          <c:showVal val="1"/>
          <c:showCatName val="0"/>
          <c:showSerName val="0"/>
          <c:showPercent val="0"/>
          <c:showBubbleSize val="0"/>
        </c:dLbls>
        <c:gapWidth val="219"/>
        <c:overlap val="-27"/>
        <c:axId val="784184473"/>
        <c:axId val="881424677"/>
      </c:barChart>
      <c:lineChart>
        <c:grouping val="standard"/>
        <c:varyColors val="0"/>
        <c:ser>
          <c:idx val="2"/>
          <c:order val="1"/>
          <c:tx>
            <c:strRef>
              <c:f>"同比"</c:f>
              <c:strCache>
                <c:ptCount val="1"/>
                <c:pt idx="0">
                  <c:v>同比</c:v>
                </c:pt>
              </c:strCache>
            </c:strRef>
          </c:tx>
          <c:spPr>
            <a:ln w="28575" cap="rnd">
              <a:solidFill>
                <a:srgbClr val="002060"/>
              </a:solidFill>
              <a:round/>
            </a:ln>
            <a:effectLst/>
          </c:spPr>
          <c:marker>
            <c:symbol val="circle"/>
            <c:size val="5"/>
            <c:spPr>
              <a:solidFill>
                <a:schemeClr val="bg1"/>
              </a:solidFill>
              <a:ln w="9525">
                <a:solidFill>
                  <a:srgbClr val="002060"/>
                </a:solidFill>
              </a:ln>
              <a:effectLst/>
            </c:spPr>
          </c:marker>
          <c:dLbls>
            <c:delete val="1"/>
          </c:dLbls>
          <c:cat>
            <c:numRef>
              <c:f>'[公报示例.xlsx]城区人口 (3)'!$A$4:$A$13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'[公报示例.xlsx]城区人口 (3)'!$E$4:$E$13</c:f>
              <c:numCache>
                <c:formatCode>0.00%</c:formatCode>
                <c:ptCount val="10"/>
                <c:pt idx="0">
                  <c:v>0.124551545150816</c:v>
                </c:pt>
                <c:pt idx="1">
                  <c:v>0.0340958338337187</c:v>
                </c:pt>
                <c:pt idx="2">
                  <c:v>-0.00305392099934876</c:v>
                </c:pt>
                <c:pt idx="3">
                  <c:v>-0.00823072145952486</c:v>
                </c:pt>
                <c:pt idx="4">
                  <c:v>0.047397202885239</c:v>
                </c:pt>
                <c:pt idx="5">
                  <c:v>0.13678625655339</c:v>
                </c:pt>
                <c:pt idx="6">
                  <c:v>-0.0432531111351773</c:v>
                </c:pt>
                <c:pt idx="7">
                  <c:v>0.0911017753957937</c:v>
                </c:pt>
                <c:pt idx="8">
                  <c:v>0.135476107695829</c:v>
                </c:pt>
                <c:pt idx="9">
                  <c:v>0.111120361079042</c:v>
                </c:pt>
              </c:numCache>
            </c:numRef>
          </c:val>
          <c:smooth val="0"/>
        </c:ser>
        <c:dLbls>
          <c:showLegendKey val="0"/>
          <c:showVal val="0"/>
          <c:showCatName val="0"/>
          <c:showSerName val="0"/>
          <c:showPercent val="0"/>
          <c:showBubbleSize val="0"/>
        </c:dLbls>
        <c:marker val="1"/>
        <c:smooth val="0"/>
        <c:axId val="407338898"/>
        <c:axId val="810885424"/>
      </c:lineChart>
      <c:catAx>
        <c:axId val="784184473"/>
        <c:scaling>
          <c:orientation val="minMax"/>
        </c:scaling>
        <c:delete val="0"/>
        <c:axPos val="b"/>
        <c:majorTickMark val="none"/>
        <c:minorTickMark val="none"/>
        <c:tickLblPos val="nextTo"/>
        <c:spPr>
          <a:noFill/>
          <a:ln w="9525" cap="flat" cmpd="sng" algn="ctr">
            <a:solidFill>
              <a:schemeClr val="bg1">
                <a:lumMod val="50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81424677"/>
        <c:crosses val="autoZero"/>
        <c:auto val="1"/>
        <c:lblAlgn val="ctr"/>
        <c:lblOffset val="100"/>
        <c:noMultiLvlLbl val="0"/>
      </c:catAx>
      <c:valAx>
        <c:axId val="881424677"/>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t>万亿元</a:t>
                </a:r>
              </a:p>
            </c:rich>
          </c:tx>
          <c:layout/>
          <c:overlay val="0"/>
          <c:spPr>
            <a:noFill/>
            <a:ln>
              <a:noFill/>
            </a:ln>
            <a:effectLst/>
          </c:spPr>
        </c:title>
        <c:numFmt formatCode="0_);[Red]\(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4184473"/>
        <c:crosses val="autoZero"/>
        <c:crossBetween val="between"/>
        <c:majorUnit val="1"/>
      </c:valAx>
      <c:catAx>
        <c:axId val="40733889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0885424"/>
        <c:crosses val="autoZero"/>
        <c:auto val="1"/>
        <c:lblAlgn val="ctr"/>
        <c:lblOffset val="100"/>
        <c:noMultiLvlLbl val="0"/>
      </c:catAx>
      <c:valAx>
        <c:axId val="810885424"/>
        <c:scaling>
          <c:orientation val="minMax"/>
        </c:scaling>
        <c:delete val="0"/>
        <c:axPos val="r"/>
        <c:numFmt formatCode="0%" sourceLinked="0"/>
        <c:majorTickMark val="in"/>
        <c:minorTickMark val="none"/>
        <c:tickLblPos val="nextTo"/>
        <c:spPr>
          <a:noFill/>
          <a:ln>
            <a:solidFill>
              <a:schemeClr val="bg1">
                <a:lumMod val="50000"/>
              </a:schemeClr>
            </a:solid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733889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84652777777778"/>
          <c:y val="0.1550019468294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noFill/>
    <a:ln w="9525" cap="flat" cmpd="sng" algn="ctr">
      <a:noFill/>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lang="en-US" altLang="zh-CN" sz="1200">
                <a:latin typeface="Times New Roman" panose="02020603050405020304" charset="0"/>
                <a:cs typeface="Times New Roman" panose="02020603050405020304" charset="0"/>
              </a:rPr>
              <a:t>2021</a:t>
            </a:r>
            <a:r>
              <a:rPr altLang="en-US" sz="1200">
                <a:latin typeface="Times New Roman" panose="02020603050405020304" charset="0"/>
                <a:cs typeface="Times New Roman" panose="02020603050405020304" charset="0"/>
              </a:rPr>
              <a:t>年全国市政设施实际到位资金来源占比情况</a:t>
            </a:r>
            <a:endParaRPr lang="en-US" altLang="zh-CN" sz="1200">
              <a:latin typeface="Times New Roman" panose="02020603050405020304" charset="0"/>
              <a:cs typeface="Times New Roman" panose="02020603050405020304" charset="0"/>
            </a:endParaRPr>
          </a:p>
        </c:rich>
      </c:tx>
      <c:layout>
        <c:manualLayout>
          <c:xMode val="edge"/>
          <c:yMode val="edge"/>
          <c:x val="0.139821525258881"/>
          <c:y val="0.00844594594594595"/>
        </c:manualLayout>
      </c:layout>
      <c:overlay val="0"/>
      <c:spPr>
        <a:noFill/>
        <a:ln>
          <a:noFill/>
        </a:ln>
        <a:effectLst/>
      </c:spPr>
    </c:title>
    <c:autoTitleDeleted val="0"/>
    <c:plotArea>
      <c:layout>
        <c:manualLayout>
          <c:layoutTarget val="inner"/>
          <c:xMode val="edge"/>
          <c:yMode val="edge"/>
          <c:x val="0.30764740221833"/>
          <c:y val="0.175693110020673"/>
          <c:w val="0.395067133683596"/>
          <c:h val="0.722251867662754"/>
        </c:manualLayout>
      </c:layout>
      <c:pieChart>
        <c:varyColors val="1"/>
        <c:ser>
          <c:idx val="0"/>
          <c:order val="0"/>
          <c:spPr>
            <a:solidFill>
              <a:srgbClr val="EBF5F9"/>
            </a:solidFill>
            <a:ln w="3175">
              <a:solidFill>
                <a:schemeClr val="tx1"/>
              </a:solidFill>
            </a:ln>
          </c:spPr>
          <c:explosion val="0"/>
          <c:dPt>
            <c:idx val="0"/>
            <c:bubble3D val="0"/>
            <c:spPr>
              <a:solidFill>
                <a:srgbClr val="C5E0B4"/>
              </a:solidFill>
              <a:ln w="3175">
                <a:solidFill>
                  <a:schemeClr val="tx1"/>
                </a:solidFill>
              </a:ln>
              <a:effectLst/>
            </c:spPr>
          </c:dPt>
          <c:dPt>
            <c:idx val="1"/>
            <c:bubble3D val="0"/>
            <c:spPr>
              <a:solidFill>
                <a:srgbClr val="385723"/>
              </a:solidFill>
              <a:ln w="3175">
                <a:solidFill>
                  <a:schemeClr val="tx1"/>
                </a:solidFill>
              </a:ln>
              <a:effectLst/>
            </c:spPr>
          </c:dPt>
          <c:dPt>
            <c:idx val="2"/>
            <c:bubble3D val="0"/>
            <c:spPr>
              <a:solidFill>
                <a:srgbClr val="E2F0D9"/>
              </a:solidFill>
              <a:ln w="3175">
                <a:solidFill>
                  <a:schemeClr val="tx1"/>
                </a:solidFill>
              </a:ln>
              <a:effectLst/>
            </c:spPr>
          </c:dPt>
          <c:dPt>
            <c:idx val="3"/>
            <c:bubble3D val="0"/>
            <c:spPr>
              <a:solidFill>
                <a:srgbClr val="27918B"/>
              </a:solidFill>
              <a:ln w="3175">
                <a:solidFill>
                  <a:schemeClr val="tx1"/>
                </a:solidFill>
              </a:ln>
              <a:effectLst/>
            </c:spPr>
          </c:dPt>
          <c:dPt>
            <c:idx val="4"/>
            <c:bubble3D val="0"/>
            <c:spPr>
              <a:solidFill>
                <a:srgbClr val="F8CBAD"/>
              </a:solidFill>
              <a:ln w="3175">
                <a:solidFill>
                  <a:schemeClr val="tx1"/>
                </a:solidFill>
              </a:ln>
              <a:effectLst/>
            </c:spPr>
          </c:dPt>
          <c:dPt>
            <c:idx val="5"/>
            <c:bubble3D val="0"/>
            <c:spPr>
              <a:solidFill>
                <a:srgbClr val="ED7D31"/>
              </a:solidFill>
              <a:ln w="3175">
                <a:solidFill>
                  <a:schemeClr val="tx1"/>
                </a:solidFill>
              </a:ln>
              <a:effectLst/>
            </c:spPr>
          </c:dPt>
          <c:dLbls>
            <c:dLbl>
              <c:idx val="0"/>
              <c:layout>
                <c:manualLayout>
                  <c:x val="0.19095286589478"/>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34141126158232"/>
                      <c:h val="0.199463087248322"/>
                    </c:manualLayout>
                  </c15:layout>
                </c:ext>
              </c:extLst>
            </c:dLbl>
            <c:dLbl>
              <c:idx val="1"/>
              <c:layout>
                <c:manualLayout>
                  <c:x val="0.0136547393691438"/>
                  <c:y val="0.071403648098126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236924809688278"/>
                  <c:y val="0.039145241352283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0452094537693644"/>
                  <c:y val="-0.00082830292352652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156226677617282"/>
                  <c:y val="0.095021595817231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3766524797259"/>
                      <c:h val="0.143904945185288"/>
                    </c:manualLayout>
                  </c15:layout>
                </c:ext>
              </c:extLst>
            </c:dLbl>
            <c:dLbl>
              <c:idx val="5"/>
              <c:layout>
                <c:manualLayout>
                  <c:x val="-0.0444517941149581"/>
                  <c:y val="-0.038181313458798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237897648686"/>
                      <c:h val="0.175723830734967"/>
                    </c:manualLayout>
                  </c15:layout>
                </c:ext>
              </c:extLst>
            </c:dLbl>
            <c:numFmt formatCode="0.0%" sourceLinked="0"/>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[公报示例.xlsx]资金来源!$E$67:$J$67</c:f>
              <c:strCache>
                <c:ptCount val="6"/>
                <c:pt idx="0">
                  <c:v>国家预算
资金</c:v>
                </c:pt>
                <c:pt idx="1">
                  <c:v>国内贷款</c:v>
                </c:pt>
                <c:pt idx="2">
                  <c:v>债券</c:v>
                </c:pt>
                <c:pt idx="3">
                  <c:v>利用外资</c:v>
                </c:pt>
                <c:pt idx="4">
                  <c:v>自筹资金</c:v>
                </c:pt>
                <c:pt idx="5">
                  <c:v>其他资金</c:v>
                </c:pt>
              </c:strCache>
            </c:strRef>
          </c:cat>
          <c:val>
            <c:numRef>
              <c:f>[公报示例.xlsx]资金来源!$E$70:$J$70</c:f>
              <c:numCache>
                <c:formatCode>General</c:formatCode>
                <c:ptCount val="6"/>
                <c:pt idx="0">
                  <c:v>81215483.5</c:v>
                </c:pt>
                <c:pt idx="1">
                  <c:v>38772134</c:v>
                </c:pt>
                <c:pt idx="2">
                  <c:v>19313917</c:v>
                </c:pt>
                <c:pt idx="3">
                  <c:v>783356</c:v>
                </c:pt>
                <c:pt idx="4">
                  <c:v>71489339</c:v>
                </c:pt>
                <c:pt idx="5">
                  <c:v>55707652</c:v>
                </c:pt>
              </c:numCache>
            </c:numRef>
          </c:val>
        </c:ser>
        <c:dLbls>
          <c:showLegendKey val="0"/>
          <c:showVal val="0"/>
          <c:showCatName val="0"/>
          <c:showSerName val="0"/>
          <c:showPercent val="0"/>
          <c:showBubbleSize val="0"/>
          <c:showLeaderLines val="1"/>
        </c:dLbls>
        <c:firstSliceAng val="127"/>
      </c:pieChart>
      <c:spPr>
        <a:noFill/>
        <a:ln>
          <a:noFill/>
        </a:ln>
        <a:effectLst/>
      </c:spPr>
    </c:plotArea>
    <c:plotVisOnly val="1"/>
    <c:dispBlanksAs val="gap"/>
    <c:showDLblsOverMax val="0"/>
  </c:chart>
  <c:spPr>
    <a:no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6183</Words>
  <Characters>7001</Characters>
  <Lines>0</Lines>
  <Paragraphs>0</Paragraphs>
  <TotalTime>46</TotalTime>
  <ScaleCrop>false</ScaleCrop>
  <LinksUpToDate>false</LinksUpToDate>
  <CharactersWithSpaces>7079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2022-08-29T05:36:00Z</dcterms:created>
  <dc:creator>86135</dc:creator>
  <cp:lastModifiedBy>唐权凌</cp:lastModifiedBy>
  <cp:lastPrinted>2022-09-29T06:17:00Z</cp:lastPrinted>
  <dcterms:modified xsi:type="dcterms:W3CDTF">2022-09-30T02:12:49Z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30A0D0CAAB7346FFA2B40300C4E228C7</vt:lpwstr>
  </property>
</Properties>
</file>