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autoSpaceDE w:val="0"/>
        <w:autoSpaceDN w:val="0"/>
        <w:adjustRightInd w:val="0"/>
        <w:spacing w:before="0" w:after="0" w:line="580" w:lineRule="exact"/>
        <w:ind w:left="2640" w:hanging="2640" w:hangingChars="600"/>
        <w:jc w:val="both"/>
        <w:rPr>
          <w:rFonts w:ascii="方正小标宋简体" w:eastAsia="方正小标宋简体"/>
          <w:kern w:val="2"/>
          <w:sz w:val="44"/>
          <w:szCs w:val="44"/>
          <w:lang w:val="en-US" w:eastAsia="zh-CN"/>
        </w:rPr>
      </w:pPr>
      <w:r>
        <w:rPr>
          <w:rFonts w:hint="eastAsia" w:ascii="方正小标宋简体" w:eastAsia="方正小标宋简体"/>
          <w:kern w:val="2"/>
          <w:sz w:val="44"/>
          <w:szCs w:val="44"/>
          <w:lang w:val="en-US" w:eastAsia="zh-CN"/>
        </w:rPr>
        <w:t>贵港市城镇污水处理提质增效三年行动方案（2019-2021年）</w:t>
      </w:r>
    </w:p>
    <w:p>
      <w:pPr>
        <w:pStyle w:val="6"/>
        <w:widowControl w:val="0"/>
        <w:autoSpaceDE w:val="0"/>
        <w:autoSpaceDN w:val="0"/>
        <w:adjustRightInd w:val="0"/>
        <w:spacing w:before="0" w:after="0" w:line="580" w:lineRule="exact"/>
        <w:ind w:firstLine="880" w:firstLineChars="200"/>
        <w:jc w:val="left"/>
        <w:rPr>
          <w:rFonts w:ascii="方正小标宋简体" w:eastAsia="方正小标宋简体"/>
          <w:kern w:val="2"/>
          <w:sz w:val="44"/>
          <w:szCs w:val="44"/>
          <w:lang w:val="en-US" w:eastAsia="zh-CN"/>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为全面贯彻落实《中共中央、国务院关于全面加强生态环境保护坚决打好污染防治攻坚战的意见》精神，根据《住房城乡建设部 生态环境部 发展改革委关于印发城镇污水处理提质增效三年行动方案（2019-2021年）的通知》（建城〔2019〕52号）和《自治区住房城乡建设厅 生态环境厅 发展改革委关于印发&lt;广西城镇污水处理提质增效三年行动</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2019-2021年）&gt;的通知》（桂建城〔2019〕21号）要求，加快补齐我市城镇污水收集和处理设施短板，加快实现污水处理设施和污水管网全覆盖、全收集、全处理，扭转污水处理设施运行效能偏低的落后局面，制定本行动方案。</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二中、三中全会及习近平总书记视察广西重要讲话精神，认真落实党中央、国务院决策部署和全国生态环境保护大会要求，以补齐污水管网等设施短板为重点，完善污水管网收集系统，加快推进城镇污水收集处理设施建设与改造，提高污水处理厂进水浓度，系统提升污水收集处理效能，加快实现污水处理设施和污水管网全覆盖、全收集、全处理，杜绝旱天污水直排，减少雨季溢流污染，基本消除黑臭水体，实现城镇污水处理工作质的飞跃。</w:t>
      </w:r>
    </w:p>
    <w:p>
      <w:pPr>
        <w:pStyle w:val="9"/>
        <w:widowControl w:val="0"/>
        <w:autoSpaceDE w:val="0"/>
        <w:autoSpaceDN w:val="0"/>
        <w:adjustRightInd w:val="0"/>
        <w:spacing w:before="0" w:after="0" w:line="580" w:lineRule="exact"/>
        <w:ind w:firstLine="640" w:firstLineChars="200"/>
        <w:jc w:val="left"/>
        <w:rPr>
          <w:rFonts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二、工作目标</w:t>
      </w:r>
    </w:p>
    <w:p>
      <w:pPr>
        <w:pStyle w:val="9"/>
        <w:widowControl w:val="0"/>
        <w:autoSpaceDE w:val="0"/>
        <w:autoSpaceDN w:val="0"/>
        <w:adjustRightInd w:val="0"/>
        <w:spacing w:before="0" w:after="0" w:line="580" w:lineRule="exact"/>
        <w:ind w:firstLine="640"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到2021年底，建成区基本无生活污水直排口，有效杜绝污水直排水体，基本消除城市黑臭水体；主城区雨污分流及错接、混接整治完成率达到80%以上，污水收集管网建设进一步完善；新建城区及改造城区雨污分流管网实现全覆盖，污水收集基本实现应收尽收，贵港市城区污水集中收集率达到50%以上，桂平市城区污水集中收集率达到30%以上；污水处理厂进水浓度进一步提高，贵港市城区生活污水处理厂平均进水生化需氧量（BOD）浓度不低于100mg/L，桂平市城区生活污水处理厂平均进水生化需氧量（BOD）浓度不低于80mg/L。</w:t>
      </w:r>
    </w:p>
    <w:p>
      <w:pPr>
        <w:pStyle w:val="9"/>
        <w:widowControl w:val="0"/>
        <w:autoSpaceDE w:val="0"/>
        <w:autoSpaceDN w:val="0"/>
        <w:adjustRightInd w:val="0"/>
        <w:spacing w:before="0" w:after="0" w:line="580" w:lineRule="exact"/>
        <w:ind w:firstLine="640" w:firstLineChars="200"/>
        <w:jc w:val="left"/>
        <w:rPr>
          <w:rFonts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三、主要任务</w:t>
      </w:r>
    </w:p>
    <w:p>
      <w:pPr>
        <w:pStyle w:val="9"/>
        <w:widowControl w:val="0"/>
        <w:autoSpaceDE w:val="0"/>
        <w:autoSpaceDN w:val="0"/>
        <w:adjustRightInd w:val="0"/>
        <w:spacing w:before="0" w:after="0" w:line="580" w:lineRule="exact"/>
        <w:ind w:firstLine="640" w:firstLineChars="200"/>
        <w:jc w:val="left"/>
        <w:rPr>
          <w:rFonts w:ascii="楷体_GB2312" w:hAnsi="仿宋_GB2312" w:eastAsia="楷体_GB2312" w:cs="仿宋_GB2312"/>
          <w:bCs/>
          <w:kern w:val="2"/>
          <w:sz w:val="32"/>
          <w:szCs w:val="32"/>
          <w:lang w:val="en-US" w:eastAsia="zh-CN"/>
        </w:rPr>
      </w:pPr>
      <w:r>
        <w:rPr>
          <w:rFonts w:hint="eastAsia" w:ascii="楷体_GB2312" w:hAnsi="仿宋_GB2312" w:eastAsia="楷体_GB2312" w:cs="仿宋_GB2312"/>
          <w:bCs/>
          <w:kern w:val="2"/>
          <w:sz w:val="32"/>
          <w:szCs w:val="32"/>
          <w:lang w:val="en-US" w:eastAsia="zh-CN"/>
        </w:rPr>
        <w:t>（一）加快推进生活污水收集处理设施改造和建设。</w:t>
      </w:r>
    </w:p>
    <w:p>
      <w:pPr>
        <w:pStyle w:val="9"/>
        <w:widowControl w:val="0"/>
        <w:autoSpaceDE w:val="0"/>
        <w:autoSpaceDN w:val="0"/>
        <w:adjustRightInd w:val="0"/>
        <w:spacing w:before="0" w:after="0" w:line="580" w:lineRule="exact"/>
        <w:ind w:firstLine="643"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b/>
          <w:kern w:val="2"/>
          <w:sz w:val="32"/>
          <w:szCs w:val="32"/>
          <w:lang w:val="en-US" w:eastAsia="zh-CN"/>
        </w:rPr>
        <w:t>⒈全面开展排水管网排查工作，制定改造计划。</w:t>
      </w:r>
      <w:r>
        <w:rPr>
          <w:rFonts w:hint="eastAsia" w:ascii="仿宋_GB2312" w:hAnsi="仿宋_GB2312" w:eastAsia="仿宋_GB2312" w:cs="仿宋_GB2312"/>
          <w:kern w:val="2"/>
          <w:sz w:val="32"/>
          <w:szCs w:val="32"/>
          <w:lang w:val="en-US" w:eastAsia="zh-CN"/>
        </w:rPr>
        <w:t>2019年底前，按照排水设施权属及运行维护职责协调分工，全面完成排水管网的排查工作。对排水管网设施覆盖现状、功能状况、错接混接漏接等基本情况及排水户接入情况进行详细调查，重点排查雨污混接、老旧劣质管及断头管情况。城区市政排水管网排查由市城市管理局牵头，市产业园区排水管网排查由市产业园区管委会负责组织，市工投集团具体实施。（市城市管理局、市产业园区管委会、市工投集团牵头，市住房城乡建设局、市生态环境局、桂平市政府、港北区政府、港南区政府、覃塘区政府等部门参与）</w:t>
      </w:r>
    </w:p>
    <w:p>
      <w:pPr>
        <w:pStyle w:val="9"/>
        <w:widowControl w:val="0"/>
        <w:autoSpaceDE w:val="0"/>
        <w:autoSpaceDN w:val="0"/>
        <w:adjustRightInd w:val="0"/>
        <w:spacing w:before="0" w:after="0" w:line="580" w:lineRule="exact"/>
        <w:ind w:firstLine="640"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对居民小区、公共建筑及企事业单位内部等非市政污水管网的排查工作，需协调设施权属单位或物业代管单位及主管部门建立排查机制，逐步完成建筑用地红线内的污水管网排查工作。（市住房城乡建设局牵头，市城市管理监督局、桂平市政府、港北区政府、港南区政府、覃塘区政府等部门参与）</w:t>
      </w:r>
    </w:p>
    <w:p>
      <w:pPr>
        <w:pStyle w:val="9"/>
        <w:widowControl w:val="0"/>
        <w:autoSpaceDE w:val="0"/>
        <w:autoSpaceDN w:val="0"/>
        <w:adjustRightInd w:val="0"/>
        <w:spacing w:before="0" w:after="0" w:line="580" w:lineRule="exact"/>
        <w:ind w:firstLine="640"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2020年3月底前，</w:t>
      </w:r>
      <w:r>
        <w:rPr>
          <w:rFonts w:hint="eastAsia" w:ascii="仿宋_GB2312" w:hAnsi="仿宋_GB2312" w:eastAsia="仿宋_GB2312" w:cs="仿宋_GB2312"/>
          <w:bCs/>
          <w:kern w:val="2"/>
          <w:sz w:val="32"/>
          <w:szCs w:val="32"/>
          <w:lang w:val="en-US" w:eastAsia="zh-CN"/>
        </w:rPr>
        <w:t>各牵头单位</w:t>
      </w:r>
      <w:r>
        <w:rPr>
          <w:rFonts w:hint="eastAsia" w:ascii="仿宋_GB2312" w:hAnsi="仿宋_GB2312" w:eastAsia="仿宋_GB2312" w:cs="仿宋_GB2312"/>
          <w:kern w:val="2"/>
          <w:sz w:val="32"/>
          <w:szCs w:val="32"/>
          <w:lang w:val="en-US" w:eastAsia="zh-CN"/>
        </w:rPr>
        <w:t>根据城市排水管网排查报告和管道检测评估报告，制定城镇排水管网雨污错接混接点治理、破旧管网修复改造和雨污分流改造计划和整治项目。（市城市管理局、产业园区管委会、市住房城乡建设局牵头，市生态环境局、桂平市政府、港北区政府、港南区政府、覃塘区政府等部门参与）</w:t>
      </w:r>
    </w:p>
    <w:p>
      <w:pPr>
        <w:pStyle w:val="9"/>
        <w:widowControl w:val="0"/>
        <w:autoSpaceDE w:val="0"/>
        <w:autoSpaceDN w:val="0"/>
        <w:adjustRightInd w:val="0"/>
        <w:spacing w:before="0" w:after="0" w:line="580" w:lineRule="exact"/>
        <w:ind w:firstLine="643"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b/>
          <w:kern w:val="2"/>
          <w:sz w:val="32"/>
          <w:szCs w:val="32"/>
          <w:lang w:val="en-US" w:eastAsia="zh-CN"/>
        </w:rPr>
        <w:t>2.明确实施目标，全面加快排水管网建设。</w:t>
      </w:r>
      <w:r>
        <w:rPr>
          <w:rFonts w:hint="eastAsia" w:ascii="仿宋_GB2312" w:hAnsi="仿宋_GB2312" w:eastAsia="仿宋_GB2312" w:cs="仿宋_GB2312"/>
          <w:kern w:val="2"/>
          <w:sz w:val="32"/>
          <w:szCs w:val="32"/>
          <w:lang w:val="en-US" w:eastAsia="zh-CN"/>
        </w:rPr>
        <w:t>持续推进城中村、老旧城区、城乡结合部的污水管网建设，基本消除生活污水收集处理设施空白区。城区、园区新建的排水管网应与道路同步建设，严格落实雨污分流制。</w:t>
      </w:r>
      <w:r>
        <w:rPr>
          <w:rFonts w:hint="eastAsia" w:ascii="仿宋_GB2312" w:hAnsi="仿宋_GB2312" w:eastAsia="仿宋_GB2312" w:cs="仿宋_GB2312"/>
          <w:bCs/>
          <w:kern w:val="2"/>
          <w:sz w:val="32"/>
          <w:szCs w:val="32"/>
          <w:lang w:val="en-US" w:eastAsia="zh-CN"/>
        </w:rPr>
        <w:t>在</w:t>
      </w:r>
      <w:r>
        <w:rPr>
          <w:rFonts w:hint="eastAsia" w:ascii="仿宋_GB2312" w:hAnsi="仿宋_GB2312" w:eastAsia="仿宋_GB2312" w:cs="仿宋_GB2312"/>
          <w:kern w:val="2"/>
          <w:sz w:val="32"/>
          <w:szCs w:val="32"/>
          <w:lang w:val="en-US" w:eastAsia="zh-CN"/>
        </w:rPr>
        <w:t>2020年9月底前，各项排水管网整治项目完成项目前期工作并开工。鼓励和支持中水管网建设，2019年底前实施城西污水处理厂中水回用设施及管网建设，城东污水处理厂等新建城市污水处理厂要要同步配套中水回用设施建设。推进建成区污水管网全覆盖，生活污水全收集、全处理，努力提高污水处理厂的进水浓度和运行负荷率。桂平市在2021年5月底前要完成污水处理厂提标改造工程，确保桂平市污水处理厂尾水排放达到一级A标准。覃塘区在2021年12月底前要完成城乡结合部管网建设工程，提高污水处理收集效能。对于人口少、相对分散或近期市政管网难以覆盖的地区，辖区政府要因地制宜建设分散污水处理设施。（市城市管理局、产业园区管委会、市工投集团、市住房城乡建设局牵头，市生态环境局、桂平市政府、港北区政府、港南区政府、覃塘区政府等部门参与）</w:t>
      </w:r>
    </w:p>
    <w:p>
      <w:pPr>
        <w:pStyle w:val="9"/>
        <w:widowControl w:val="0"/>
        <w:autoSpaceDE w:val="0"/>
        <w:autoSpaceDN w:val="0"/>
        <w:adjustRightInd w:val="0"/>
        <w:spacing w:before="0" w:after="0" w:line="580" w:lineRule="exact"/>
        <w:ind w:firstLine="643"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b/>
          <w:kern w:val="2"/>
          <w:sz w:val="32"/>
          <w:szCs w:val="32"/>
          <w:lang w:val="en-US" w:eastAsia="zh-CN"/>
        </w:rPr>
        <w:t>3.建立污水管网排查和周期性监测制度。</w:t>
      </w:r>
      <w:r>
        <w:rPr>
          <w:rFonts w:hint="eastAsia" w:ascii="仿宋_GB2312" w:hAnsi="仿宋_GB2312" w:eastAsia="仿宋_GB2312" w:cs="仿宋_GB2312"/>
          <w:kern w:val="2"/>
          <w:sz w:val="32"/>
          <w:szCs w:val="32"/>
          <w:lang w:val="en-US" w:eastAsia="zh-CN"/>
        </w:rPr>
        <w:t>按照“边排查、边建档、边整改”原则，及时制定完善污水管网建设和改造方案，并同步建立市政排水管网地理信息系统（GIS），实现污水管网信息化、账册化管理。整合现有管网养护队伍力量，全面提高管网养护管理水平，在完成系统排查的基础上，逐步建立以5-10年为一个排查周期的长效机制和费用保障机制，保证GIS系统的数据精准度。（市城市管理监督局牵头，市住房城乡建设局、生态环境局、自然资源局、桂平市政府、港北区政府、港南区政府、覃塘区政府等部门参与）</w:t>
      </w:r>
    </w:p>
    <w:p>
      <w:pPr>
        <w:pStyle w:val="11"/>
        <w:widowControl w:val="0"/>
        <w:autoSpaceDE w:val="0"/>
        <w:autoSpaceDN w:val="0"/>
        <w:adjustRightInd w:val="0"/>
        <w:spacing w:before="0" w:after="0" w:line="580" w:lineRule="exact"/>
        <w:ind w:firstLine="643"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b/>
          <w:kern w:val="2"/>
          <w:sz w:val="32"/>
          <w:szCs w:val="32"/>
          <w:lang w:val="en-US" w:eastAsia="zh-CN"/>
        </w:rPr>
        <w:t>4.全面提升现有污水收集处理设施效能，推进设施改造工作。</w:t>
      </w:r>
      <w:r>
        <w:rPr>
          <w:rFonts w:hint="eastAsia" w:ascii="仿宋_GB2312" w:hAnsi="仿宋_GB2312" w:eastAsia="仿宋_GB2312" w:cs="仿宋_GB2312"/>
          <w:kern w:val="2"/>
          <w:sz w:val="32"/>
          <w:szCs w:val="32"/>
          <w:lang w:val="en-US" w:eastAsia="zh-CN"/>
        </w:rPr>
        <w:t>根据排水管网普查和日常运行维护情况，结合GIS系统分析结果，下大力气推进管网混接错接漏接改造、老旧管网更新、破损修复、淤积管道疏浚等工程。对难以实施雨污分流改造的合流制排水系统，应采取截流、调蓄和治理等措施，减少雨季溢流污染。重点做好沿河、沿海截污管道及检查井、阀门与管道接头处和接驳管、断头管的缺陷修复，实现污水管网系统清污分流、连通成网，最大程度发挥收集效果。2020年12月底前完成市中心城区直排口截污工程，基本消除污水直排水体；2020年12月底前完成市中心城区污水管网改造工程和覃塘区劣质管网改造工程；2021年12月底前完成桂平市兴桂路污水管网新建工程和糖厂路污水管网新建工程，城市生活污水集中收集效能得到显著提高。（市城市管理监督局牵头，市水利局、桂平市政府、港北区政府、港南区政府、覃塘区政府等部门参与）</w:t>
      </w:r>
    </w:p>
    <w:p>
      <w:pPr>
        <w:pStyle w:val="11"/>
        <w:widowControl w:val="0"/>
        <w:autoSpaceDE w:val="0"/>
        <w:autoSpaceDN w:val="0"/>
        <w:adjustRightInd w:val="0"/>
        <w:spacing w:before="0" w:after="0" w:line="580" w:lineRule="exact"/>
        <w:ind w:firstLine="640"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针对进水生化需氧量（BOD）浓度低于100mg/L的城市污水处理厂，要围绕服务片区管网，在2019年底前制定“一厂一策”系统化整治方案，明确进水浓度提升目标和整治措施。（市城市管理局牵头，桂平市政府、港北区政府、港南区政府、覃塘区政府等部门参与）</w:t>
      </w:r>
    </w:p>
    <w:p>
      <w:pPr>
        <w:pStyle w:val="12"/>
        <w:widowControl w:val="0"/>
        <w:autoSpaceDE w:val="0"/>
        <w:autoSpaceDN w:val="0"/>
        <w:adjustRightInd w:val="0"/>
        <w:spacing w:before="0" w:after="0" w:line="580" w:lineRule="exact"/>
        <w:ind w:firstLine="643" w:firstLineChars="200"/>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b/>
          <w:kern w:val="2"/>
          <w:sz w:val="32"/>
          <w:szCs w:val="32"/>
          <w:lang w:val="en-US" w:eastAsia="zh-CN"/>
        </w:rPr>
        <w:t>5.强化污水管网建设工程质量安全监督，健全质量安全管控机制。</w:t>
      </w:r>
      <w:r>
        <w:rPr>
          <w:rFonts w:hint="eastAsia" w:ascii="仿宋_GB2312" w:hAnsi="仿宋_GB2312" w:eastAsia="仿宋_GB2312" w:cs="仿宋_GB2312"/>
          <w:kern w:val="2"/>
          <w:sz w:val="32"/>
          <w:szCs w:val="32"/>
          <w:lang w:val="en-US" w:eastAsia="zh-CN"/>
        </w:rPr>
        <w:t>加强管材市场监管，严厉打击假冒伪劣管材产品；各级住房城乡建设部门要强化污水管网建设工程质量安全监督，确保工程质量合格率达100%，确保不发生较大及以上生产安全责任事故；工程建设、勘察、设计、施工、监理等参建各方主体要严格履行法定基本建设程序，按照有关工程技术标准和设计文件依法组织实施，确保工程建设质量和生产安全；严格排水管道养护、检测与修复质量管理。按照质量终身责任制要求，强化勘察、设计、施工、监理等行业信用体系建设，推行建筑市场主体黑名单制度。（市住房城乡建设局、市场监督管理局、城市管理监督局按照职责分工负责）</w:t>
      </w:r>
    </w:p>
    <w:p>
      <w:pPr>
        <w:pStyle w:val="12"/>
        <w:widowControl w:val="0"/>
        <w:autoSpaceDE w:val="0"/>
        <w:autoSpaceDN w:val="0"/>
        <w:adjustRightInd w:val="0"/>
        <w:spacing w:before="0" w:after="0" w:line="580" w:lineRule="exact"/>
        <w:ind w:firstLine="640" w:firstLineChars="200"/>
        <w:jc w:val="left"/>
        <w:rPr>
          <w:rFonts w:ascii="楷体_GB2312" w:hAnsi="仿宋_GB2312" w:eastAsia="楷体_GB2312" w:cs="仿宋_GB2312"/>
          <w:bCs/>
          <w:color w:val="000000"/>
          <w:sz w:val="32"/>
          <w:lang w:eastAsia="zh-CN"/>
        </w:rPr>
      </w:pPr>
      <w:r>
        <w:rPr>
          <w:rFonts w:hint="eastAsia" w:ascii="楷体_GB2312" w:hAnsi="仿宋_GB2312" w:eastAsia="楷体_GB2312" w:cs="仿宋_GB2312"/>
          <w:bCs/>
          <w:color w:val="000000"/>
          <w:sz w:val="32"/>
          <w:lang w:eastAsia="zh-CN"/>
        </w:rPr>
        <w:t>（二）建立健全排水管理长效机制。</w:t>
      </w:r>
    </w:p>
    <w:p>
      <w:pPr>
        <w:pStyle w:val="12"/>
        <w:widowControl w:val="0"/>
        <w:autoSpaceDE w:val="0"/>
        <w:autoSpaceDN w:val="0"/>
        <w:adjustRightInd w:val="0"/>
        <w:spacing w:before="0" w:after="0" w:line="580" w:lineRule="exact"/>
        <w:ind w:firstLine="643" w:firstLineChars="200"/>
        <w:jc w:val="left"/>
        <w:rPr>
          <w:rFonts w:ascii="仿宋_GB2312" w:hAnsi="仿宋_GB2312" w:eastAsia="仿宋_GB2312" w:cs="仿宋_GB2312"/>
          <w:color w:val="000000"/>
          <w:sz w:val="32"/>
          <w:lang w:eastAsia="zh-CN"/>
        </w:rPr>
      </w:pPr>
      <w:r>
        <w:rPr>
          <w:rFonts w:hint="eastAsia" w:ascii="仿宋_GB2312" w:hAnsi="仿宋_GB2312" w:eastAsia="仿宋_GB2312" w:cs="仿宋_GB2312"/>
          <w:b/>
          <w:kern w:val="2"/>
          <w:sz w:val="32"/>
          <w:szCs w:val="32"/>
          <w:lang w:val="en-US" w:eastAsia="zh-CN"/>
        </w:rPr>
        <w:t>1.建立健全污水接入城镇污水排水管网服务和管理制度。</w:t>
      </w:r>
      <w:r>
        <w:rPr>
          <w:rFonts w:hint="eastAsia" w:ascii="仿宋_GB2312" w:hAnsi="仿宋_GB2312" w:eastAsia="仿宋_GB2312" w:cs="仿宋_GB2312"/>
          <w:kern w:val="2"/>
          <w:sz w:val="32"/>
          <w:szCs w:val="32"/>
          <w:lang w:val="en-US" w:eastAsia="zh-CN"/>
        </w:rPr>
        <w:t>一是建立健全生活污水应接尽接制度。市政污水管网覆盖范围内的生活污水应依法规范接入管网，严禁市政管网、小区或单位内部雨污管网混接错接，杜绝污水直排。新建居民小区或公共建筑排水未规范接入市政排水管网的，不得交付使用；对人口少、相对分散或污水集中收集处理设施未覆盖的地区，应依法建设分散污</w:t>
      </w:r>
      <w:r>
        <w:rPr>
          <w:rFonts w:hint="eastAsia" w:ascii="仿宋_GB2312" w:hAnsi="仿宋_GB2312" w:eastAsia="仿宋_GB2312" w:cs="仿宋_GB2312"/>
          <w:color w:val="000000"/>
          <w:sz w:val="32"/>
          <w:lang w:eastAsia="zh-CN"/>
        </w:rPr>
        <w:t>水处理设施并实现污水达标排放。</w:t>
      </w:r>
      <w:r>
        <w:rPr>
          <w:rFonts w:hint="eastAsia" w:ascii="仿宋_GB2312" w:hAnsi="仿宋_GB2312" w:eastAsia="仿宋_GB2312" w:cs="仿宋_GB2312"/>
          <w:color w:val="000000"/>
          <w:sz w:val="32"/>
          <w:szCs w:val="32"/>
          <w:lang w:eastAsia="zh-CN"/>
        </w:rPr>
        <w:t>二是建立健全“小散乱”规范管理制度。对沿街经营性单位和个体工商户污水乱排直排行为进行整治，结合市场整顿和经营许可、卫生许可管理，建立联合执法监督机制，对污水乱排直排行为进行督促整改。三是严格排水接入管理。</w:t>
      </w:r>
      <w:r>
        <w:rPr>
          <w:rFonts w:hint="eastAsia" w:ascii="仿宋_GB2312" w:hAnsi="仿宋_GB2312" w:eastAsia="仿宋_GB2312" w:cs="仿宋_GB2312"/>
          <w:sz w:val="32"/>
          <w:szCs w:val="32"/>
          <w:lang w:eastAsia="zh-CN"/>
        </w:rPr>
        <w:t>建立市政管网私搭乱接溯源追查和执法制度，严禁在市政排水管网上私搭乱接，杜绝工业企业通过雨水管网违法排污，城市排水主管部门、生态环境部门要会同有关部门强化溯源追查和执法，建立常态化工作机制。</w:t>
      </w:r>
      <w:r>
        <w:rPr>
          <w:rFonts w:hint="eastAsia" w:ascii="仿宋_GB2312" w:hAnsi="仿宋_GB2312" w:eastAsia="仿宋_GB2312" w:cs="仿宋_GB2312"/>
          <w:color w:val="000000"/>
          <w:sz w:val="32"/>
          <w:lang w:eastAsia="zh-CN"/>
        </w:rPr>
        <w:t>（市城市管理监督局、生态环境局牵头，市住房城乡建设局、桂平市政府、港北区政府、港南区政府、覃塘区政府等部门参与）</w:t>
      </w:r>
    </w:p>
    <w:p>
      <w:pPr>
        <w:pStyle w:val="11"/>
        <w:widowControl w:val="0"/>
        <w:autoSpaceDE w:val="0"/>
        <w:autoSpaceDN w:val="0"/>
        <w:adjustRightInd w:val="0"/>
        <w:spacing w:before="0" w:after="0" w:line="580" w:lineRule="exact"/>
        <w:ind w:firstLine="643" w:firstLineChars="200"/>
        <w:jc w:val="left"/>
        <w:rPr>
          <w:rFonts w:ascii="仿宋_GB2312" w:hAnsi="仿宋_GB2312" w:eastAsia="仿宋_GB2312" w:cs="仿宋_GB2312"/>
          <w:sz w:val="32"/>
          <w:szCs w:val="32"/>
          <w:lang w:eastAsia="zh-CN"/>
        </w:rPr>
      </w:pPr>
      <w:r>
        <w:rPr>
          <w:rFonts w:hint="eastAsia" w:ascii="仿宋_GB2312" w:hAnsi="仿宋_GB2312" w:eastAsia="仿宋_GB2312" w:cs="仿宋_GB2312"/>
          <w:b/>
          <w:bCs/>
          <w:snapToGrid w:val="0"/>
          <w:color w:val="000000"/>
          <w:sz w:val="32"/>
          <w:szCs w:val="32"/>
          <w:lang w:eastAsia="zh-CN"/>
        </w:rPr>
        <w:t>2. 规范工业企业排水管理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市产业园区、工业园区应当按规定建设污水集中处理设施。各园区管理部门要组织对工业污水进入市政污水收集设施的工业企业进行排查，组织有关部门和单位开展评估，经评第三方检测机构检测认为污染物不能被城镇污水处理厂有效处理或可能影响城镇污水处理厂出水稳定达标的，要限期退出；经检测符合排入管网要求的可继续接入市政污水管网的，工业企业应当依法取得排水许可。工业企业排污许可内容、污水接入市政管网的位置、排水方式、主要排放污染物类型等信息应当向社会公示，接受公众、污水处理厂运行维护单位和相关部门监督。（产业园区管理委员会、市生态环境局牵头，市城市管理局、桂平市政府、港北区政府、港南区政府、覃塘区政府参与）</w:t>
      </w:r>
    </w:p>
    <w:p>
      <w:pPr>
        <w:pStyle w:val="13"/>
        <w:widowControl w:val="0"/>
        <w:autoSpaceDE w:val="0"/>
        <w:autoSpaceDN w:val="0"/>
        <w:adjustRightInd w:val="0"/>
        <w:spacing w:before="0" w:after="0" w:line="580" w:lineRule="exact"/>
        <w:ind w:firstLine="640" w:firstLineChars="200"/>
        <w:jc w:val="left"/>
        <w:rPr>
          <w:rFonts w:ascii="仿宋_GB2312" w:hAnsi="仿宋_GB2312" w:eastAsia="仿宋_GB2312" w:cs="仿宋_GB2312"/>
          <w:color w:val="000000"/>
          <w:sz w:val="32"/>
          <w:lang w:eastAsia="zh-CN"/>
        </w:rPr>
      </w:pPr>
      <w:r>
        <w:rPr>
          <w:rFonts w:hint="eastAsia" w:ascii="仿宋_GB2312" w:hAnsi="仿宋_GB2312" w:eastAsia="仿宋_GB2312" w:cs="仿宋_GB2312"/>
          <w:sz w:val="32"/>
          <w:szCs w:val="32"/>
          <w:lang w:eastAsia="zh-CN"/>
        </w:rPr>
        <w:t>建立完善城市管理部门、生态环境部门等部门执法联动机制，加强对接入市政管网的工业企业以及餐饮、洗车等生产经营性单位的监管，严禁工业废水偷排和污水超标排入市政污水管网，确保入网污水水质达标，依法处罚超排、偷排等违法行为。2019年底前开展城镇排水设施违法行为专项执法行动，排查建成区范围内的工业、建筑、餐饮、医疗等相关企业的排水许可证办理及进水水质情况，严厉查处违反《城镇排水与污水处理条例》</w:t>
      </w:r>
      <w:r>
        <w:rPr>
          <w:rFonts w:hint="eastAsia" w:ascii="仿宋_GB2312" w:hAnsi="仿宋_GB2312" w:eastAsia="仿宋_GB2312" w:cs="仿宋_GB2312"/>
          <w:color w:val="000000"/>
          <w:sz w:val="32"/>
          <w:lang w:eastAsia="zh-CN"/>
        </w:rPr>
        <w:t>等相关法规的行为，重点查处未办理《城镇污水排入排水管网许可证》将污水排入市政排水管网，已办理《城镇污水排入排水管网许可证》的排水户不按照污水排入排水管网许可证的要求排放污水，在雨水、污水分流地区将污水排入雨水管网，从事危及城镇排水与污水处理设施安全的活动，擅自拆除、改动城镇排水与污水处理设施等行为。（市城市管理局牵头，市生态环境局、</w:t>
      </w:r>
      <w:r>
        <w:rPr>
          <w:rFonts w:hint="eastAsia" w:ascii="仿宋_GB2312" w:hAnsi="仿宋_GB2312" w:eastAsia="仿宋_GB2312" w:cs="仿宋_GB2312"/>
          <w:sz w:val="32"/>
          <w:szCs w:val="32"/>
          <w:lang w:eastAsia="zh-CN"/>
        </w:rPr>
        <w:t>产业园区管理委员会参与）</w:t>
      </w:r>
    </w:p>
    <w:p>
      <w:pPr>
        <w:pStyle w:val="14"/>
        <w:widowControl w:val="0"/>
        <w:autoSpaceDE w:val="0"/>
        <w:autoSpaceDN w:val="0"/>
        <w:adjustRightInd w:val="0"/>
        <w:spacing w:before="0" w:after="0" w:line="580" w:lineRule="exact"/>
        <w:ind w:firstLine="643" w:firstLineChars="200"/>
        <w:jc w:val="left"/>
        <w:rPr>
          <w:rFonts w:ascii="仿宋_GB2312" w:hAnsi="仿宋_GB2312" w:eastAsia="仿宋_GB2312" w:cs="仿宋_GB2312"/>
          <w:color w:val="000000"/>
          <w:sz w:val="32"/>
          <w:lang w:eastAsia="zh-CN"/>
        </w:rPr>
      </w:pPr>
      <w:r>
        <w:rPr>
          <w:rFonts w:hint="eastAsia" w:ascii="仿宋_GB2312" w:hAnsi="仿宋_GB2312" w:eastAsia="仿宋_GB2312" w:cs="仿宋_GB2312"/>
          <w:b/>
          <w:color w:val="000000"/>
          <w:sz w:val="32"/>
          <w:lang w:eastAsia="zh-CN"/>
        </w:rPr>
        <w:t>3.完善河湖水位与市政排水协调制度。</w:t>
      </w:r>
      <w:r>
        <w:rPr>
          <w:rFonts w:hint="eastAsia" w:ascii="仿宋_GB2312" w:hAnsi="仿宋_GB2312" w:eastAsia="仿宋_GB2312" w:cs="仿宋_GB2312"/>
          <w:color w:val="000000"/>
          <w:sz w:val="32"/>
          <w:lang w:eastAsia="zh-CN"/>
        </w:rPr>
        <w:t>合理控制河湖水体水位，妥善处理河湖水位与市政排水的关系，防止河湖水倒灌进入市政排水系统。施工降水或基坑排水排入市政管网的，应纳入污水排入排水管网许可管理，明确排水接口位置和去向，避免排入城镇污水处理厂。（市水利局牵头，城市管理局、住房城乡建设局参与）</w:t>
      </w:r>
    </w:p>
    <w:p>
      <w:pPr>
        <w:pStyle w:val="14"/>
        <w:widowControl w:val="0"/>
        <w:autoSpaceDE w:val="0"/>
        <w:autoSpaceDN w:val="0"/>
        <w:adjustRightInd w:val="0"/>
        <w:spacing w:before="0" w:after="0" w:line="580" w:lineRule="exact"/>
        <w:ind w:firstLine="643" w:firstLineChars="200"/>
        <w:jc w:val="left"/>
        <w:rPr>
          <w:rFonts w:ascii="仿宋_GB2312" w:hAnsi="仿宋_GB2312" w:eastAsia="仿宋_GB2312" w:cs="仿宋_GB2312"/>
          <w:color w:val="000000"/>
          <w:sz w:val="32"/>
          <w:lang w:eastAsia="zh-CN"/>
        </w:rPr>
      </w:pPr>
      <w:r>
        <w:rPr>
          <w:rFonts w:hint="eastAsia" w:ascii="仿宋_GB2312" w:hAnsi="仿宋_GB2312" w:eastAsia="仿宋_GB2312" w:cs="仿宋_GB2312"/>
          <w:b/>
          <w:color w:val="000000"/>
          <w:sz w:val="32"/>
          <w:lang w:eastAsia="zh-CN"/>
        </w:rPr>
        <w:t>4.完善管网专业运行维护工作管理机制。</w:t>
      </w:r>
      <w:r>
        <w:rPr>
          <w:rFonts w:hint="eastAsia" w:ascii="仿宋_GB2312" w:hAnsi="仿宋_GB2312" w:eastAsia="仿宋_GB2312" w:cs="仿宋_GB2312"/>
          <w:color w:val="000000"/>
          <w:sz w:val="32"/>
          <w:lang w:eastAsia="zh-CN"/>
        </w:rPr>
        <w:t>整合现有养护队伍力量，根据管网规模、服务范围和特点等因素，配备专业人员和设备开展排水管网运行维护工作。排水管网运行维护主体需规范开展维护工作，严格执行现行《城镇排水管道维护安全技术规程》（CJJ6）、《城镇排水管渠与泵站维护技术规程》（CJJ68）、《城镇排水管道检测与评估技术规程》（CJJ181）等规范和标准。积极推行污水处理厂、管网与河湖水体联动“厂-网-河（湖）”一体化、专业化运行维护，保障污水收集处理设施的系统性和完整性。鼓励通过市场化机制引入专业化机构参与管网养护管理，鼓励居民小区将内部管网养护工作委托给市政排水管网运行维护单位实施，配套建立责权明晰的工作制度，建立相关费用保障机制。加强设施建设和运行过程中的安全监督管理。（市城市管理监督局牵头，住房城乡建设局、财政局参与）</w:t>
      </w:r>
    </w:p>
    <w:p>
      <w:pPr>
        <w:pStyle w:val="14"/>
        <w:widowControl w:val="0"/>
        <w:autoSpaceDE w:val="0"/>
        <w:autoSpaceDN w:val="0"/>
        <w:adjustRightInd w:val="0"/>
        <w:spacing w:before="0" w:after="0" w:line="580" w:lineRule="exact"/>
        <w:ind w:firstLine="640" w:firstLineChars="200"/>
        <w:jc w:val="left"/>
        <w:rPr>
          <w:rFonts w:ascii="楷体_GB2312" w:hAnsi="仿宋_GB2312" w:eastAsia="楷体_GB2312" w:cs="仿宋_GB2312"/>
          <w:bCs/>
          <w:color w:val="000000"/>
          <w:sz w:val="32"/>
          <w:lang w:eastAsia="zh-CN"/>
        </w:rPr>
      </w:pPr>
      <w:r>
        <w:rPr>
          <w:rFonts w:hint="eastAsia" w:ascii="楷体_GB2312" w:hAnsi="仿宋_GB2312" w:eastAsia="楷体_GB2312" w:cs="仿宋_GB2312"/>
          <w:bCs/>
          <w:color w:val="000000"/>
          <w:sz w:val="32"/>
          <w:lang w:eastAsia="zh-CN"/>
        </w:rPr>
        <w:t>（三）完善激励支持政策。</w:t>
      </w:r>
    </w:p>
    <w:p>
      <w:pPr>
        <w:pStyle w:val="15"/>
        <w:widowControl w:val="0"/>
        <w:autoSpaceDE w:val="0"/>
        <w:autoSpaceDN w:val="0"/>
        <w:adjustRightInd w:val="0"/>
        <w:spacing w:before="0" w:after="0" w:line="580" w:lineRule="exact"/>
        <w:ind w:firstLine="643" w:firstLineChars="200"/>
        <w:jc w:val="left"/>
        <w:rPr>
          <w:rFonts w:ascii="仿宋_GB2312" w:hAnsi="仿宋_GB2312" w:eastAsia="仿宋_GB2312" w:cs="仿宋_GB2312"/>
          <w:color w:val="000000"/>
          <w:sz w:val="32"/>
          <w:lang w:eastAsia="zh-CN"/>
        </w:rPr>
      </w:pPr>
      <w:r>
        <w:rPr>
          <w:rFonts w:hint="eastAsia" w:ascii="仿宋_GB2312" w:hAnsi="仿宋_GB2312" w:eastAsia="仿宋_GB2312" w:cs="仿宋_GB2312"/>
          <w:b/>
          <w:color w:val="000000"/>
          <w:sz w:val="32"/>
          <w:lang w:eastAsia="zh-CN"/>
        </w:rPr>
        <w:t>⒈重视城镇污水处理收费工作，建立费用动态调整机制。</w:t>
      </w:r>
      <w:r>
        <w:rPr>
          <w:rFonts w:hint="eastAsia" w:ascii="仿宋_GB2312" w:hAnsi="仿宋_GB2312" w:eastAsia="仿宋_GB2312" w:cs="仿宋_GB2312"/>
          <w:color w:val="000000"/>
          <w:sz w:val="32"/>
          <w:lang w:eastAsia="zh-CN"/>
        </w:rPr>
        <w:t>按照补偿污水处理和污泥处理处置设施运营成本并合理盈利的原则，尽快将污水处理费收费标准调整到位，并依据定期评估结果进行动态调整，原则上污水处理费应当补偿污水处理和污泥处理处置设施正常运营成本并合理盈利。要提升自备水污水处理费征</w:t>
      </w:r>
      <w:r>
        <w:rPr>
          <w:rFonts w:hint="eastAsia" w:ascii="仿宋_GB2312" w:hAnsi="仿宋_GB2312" w:eastAsia="仿宋_GB2312" w:cs="仿宋_GB2312"/>
          <w:sz w:val="32"/>
          <w:szCs w:val="32"/>
          <w:lang w:eastAsia="zh-CN"/>
        </w:rPr>
        <w:t>缴率。统筹使用污水处理费和财政补贴资金，通过政府购买服务方式向提供服务单位支付服务费，充分保障排水管网等收集设施运行维护资金。</w:t>
      </w:r>
      <w:r>
        <w:rPr>
          <w:rFonts w:hint="eastAsia" w:ascii="仿宋_GB2312" w:hAnsi="仿宋_GB2312" w:eastAsia="仿宋_GB2312" w:cs="仿宋_GB2312"/>
          <w:color w:val="000000"/>
          <w:sz w:val="32"/>
          <w:lang w:eastAsia="zh-CN"/>
        </w:rPr>
        <w:t>（市发展改革委、财政局、城市管理监督局、水利局按职责分工负责，住房城乡建设局、桂平市政府、港北区政府、港南区政府、覃塘区政府等部门参与）</w:t>
      </w:r>
    </w:p>
    <w:p>
      <w:pPr>
        <w:numPr>
          <w:ilvl w:val="0"/>
          <w:numId w:val="1"/>
        </w:numPr>
        <w:adjustRightInd w:val="0"/>
        <w:snapToGrid w:val="0"/>
        <w:spacing w:line="58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napToGrid w:val="0"/>
          <w:color w:val="000000"/>
          <w:sz w:val="32"/>
          <w:szCs w:val="32"/>
        </w:rPr>
        <w:t>多渠道筹措资金，落实资金保障。</w:t>
      </w:r>
      <w:r>
        <w:rPr>
          <w:rFonts w:hint="eastAsia" w:ascii="仿宋_GB2312" w:hAnsi="仿宋_GB2312" w:eastAsia="仿宋_GB2312" w:cs="仿宋_GB2312"/>
          <w:snapToGrid w:val="0"/>
          <w:color w:val="000000"/>
          <w:sz w:val="32"/>
          <w:szCs w:val="32"/>
        </w:rPr>
        <w:t>进一步强化自治区、市、县三级前期工作经费保障，确保项目经费需求。</w:t>
      </w:r>
      <w:r>
        <w:rPr>
          <w:rFonts w:hint="eastAsia" w:ascii="仿宋_GB2312" w:hAnsi="仿宋_GB2312" w:eastAsia="仿宋_GB2312" w:cs="仿宋_GB2312"/>
          <w:sz w:val="32"/>
          <w:szCs w:val="32"/>
        </w:rPr>
        <w:t>市发展改革委、财政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等部门要加强与自治区、国家有关部门的沟通衔接，最大限度地争取中央预算内资金支持。鼓励金融机构依法依归为污水处理提质增效项目提供融资支持。研究探索规范项目收益权、特许经营权等质押融资担保。已安排的污水管网建设资金要与三年行动相衔接，确保资金投入与三年行动任务相匹配。</w:t>
      </w:r>
      <w:r>
        <w:rPr>
          <w:rFonts w:hint="eastAsia" w:ascii="仿宋_GB2312" w:hAnsi="仿宋_GB2312" w:eastAsia="仿宋_GB2312" w:cs="仿宋_GB2312"/>
          <w:kern w:val="0"/>
          <w:sz w:val="32"/>
          <w:szCs w:val="32"/>
        </w:rPr>
        <w:t>建立多元化投资机制，</w:t>
      </w:r>
      <w:r>
        <w:rPr>
          <w:rFonts w:hint="eastAsia" w:ascii="仿宋_GB2312" w:hAnsi="仿宋_GB2312" w:eastAsia="仿宋_GB2312" w:cs="仿宋_GB2312"/>
          <w:sz w:val="32"/>
          <w:szCs w:val="32"/>
        </w:rPr>
        <w:t>营造良好市场环境，吸引社会资本参与设施投资、建设和运营。加强与中国农业发展银行、国家开发银行等金融机构的合作，充分利用低成本、中长期的有关专项贷款投向项目建设。</w:t>
      </w:r>
      <w:r>
        <w:rPr>
          <w:rFonts w:hint="eastAsia" w:ascii="仿宋_GB2312" w:hAnsi="仿宋_GB2312" w:eastAsia="仿宋_GB2312" w:cs="仿宋_GB2312"/>
          <w:color w:val="000000"/>
          <w:sz w:val="32"/>
          <w:szCs w:val="32"/>
        </w:rPr>
        <w:t>（市财政局、发展改革委按职责分工负责，市住房城乡建设局、城市管理监督局等部门参与。）</w:t>
      </w:r>
    </w:p>
    <w:p>
      <w:pPr>
        <w:numPr>
          <w:ilvl w:val="0"/>
          <w:numId w:val="0"/>
        </w:numPr>
        <w:adjustRightInd w:val="0"/>
        <w:snapToGrid w:val="0"/>
        <w:spacing w:line="580" w:lineRule="exact"/>
        <w:ind w:firstLine="643"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b/>
          <w:bCs/>
          <w:snapToGrid w:val="0"/>
          <w:color w:val="000000"/>
          <w:sz w:val="32"/>
          <w:szCs w:val="32"/>
        </w:rPr>
        <w:t>3. 简化相关建设工程审批流程，完善工程保障。</w:t>
      </w:r>
      <w:r>
        <w:rPr>
          <w:rFonts w:hint="eastAsia" w:ascii="仿宋_GB2312" w:hAnsi="仿宋_GB2312" w:eastAsia="仿宋_GB2312" w:cs="仿宋_GB2312"/>
          <w:snapToGrid w:val="0"/>
          <w:color w:val="000000"/>
          <w:sz w:val="32"/>
          <w:szCs w:val="32"/>
        </w:rPr>
        <w:t>妥善处理在城中村、老旧城区、城乡结合部等区域建设生活污水收集处理设施涉及的拆迁、征收和拆除违章建筑等工作。各级政府和有关部门要建立生活污水收集处理设施建设项目前期工作“绿色通道”，各相关单位要按开工时间倒排前期工作进度，相关主管部门要优化工作程序，精简审批环节，完善审批体系，加快推进投资许可、规划选址、用地预审、环评审批等前期工作，尽量缩短评估周期和审核周期。</w:t>
      </w:r>
      <w:r>
        <w:rPr>
          <w:rFonts w:hint="eastAsia" w:ascii="仿宋_GB2312" w:hAnsi="仿宋_GB2312" w:eastAsia="仿宋_GB2312" w:cs="仿宋_GB2312"/>
          <w:color w:val="000000"/>
          <w:sz w:val="32"/>
          <w:szCs w:val="32"/>
        </w:rPr>
        <w:t>（市城市管理局牵头，市发改委、自然资源局、生态环境局等部门参与。）</w:t>
      </w:r>
    </w:p>
    <w:p>
      <w:pPr>
        <w:pStyle w:val="14"/>
        <w:widowControl w:val="0"/>
        <w:autoSpaceDE w:val="0"/>
        <w:autoSpaceDN w:val="0"/>
        <w:adjustRightInd w:val="0"/>
        <w:spacing w:before="0" w:after="0" w:line="580" w:lineRule="exact"/>
        <w:ind w:firstLine="643" w:firstLineChars="200"/>
        <w:jc w:val="left"/>
        <w:rPr>
          <w:rFonts w:ascii="仿宋_GB2312" w:hAnsi="仿宋_GB2312" w:eastAsia="仿宋_GB2312" w:cs="仿宋_GB2312"/>
          <w:sz w:val="32"/>
          <w:szCs w:val="32"/>
          <w:lang w:eastAsia="zh-CN"/>
        </w:rPr>
      </w:pPr>
      <w:r>
        <w:rPr>
          <w:rFonts w:hint="eastAsia" w:ascii="仿宋_GB2312" w:hAnsi="仿宋_GB2312" w:eastAsia="仿宋_GB2312" w:cs="仿宋_GB2312"/>
          <w:b/>
          <w:bCs/>
          <w:snapToGrid w:val="0"/>
          <w:color w:val="000000"/>
          <w:sz w:val="32"/>
          <w:szCs w:val="32"/>
          <w:lang w:eastAsia="zh-CN"/>
        </w:rPr>
        <w:t>4. 积极引导群众参与，发挥社会监督作用。</w:t>
      </w:r>
      <w:r>
        <w:rPr>
          <w:rFonts w:hint="eastAsia" w:ascii="仿宋_GB2312" w:hAnsi="仿宋_GB2312" w:eastAsia="仿宋_GB2312" w:cs="仿宋_GB2312"/>
          <w:sz w:val="32"/>
          <w:szCs w:val="32"/>
          <w:lang w:eastAsia="zh-CN"/>
        </w:rPr>
        <w:t>通过政府网站、新媒体、公众号等多种平台，引导和鼓励群众参与排水管网建设管理、污水直排整治等工作，限期办理群众投诉举报的生活污水直排问题，提高群众参与度和满意度。要面向广大群众开展形式多样的宣传工作，引导群众自觉维护雨水、污水管网等设施，不向水体、雨水口违法排污，不私搭乱接管网，鼓励群众监督治理成效、发现和反映问题，形成全民参与治理的氛围。鼓励利用城市污水处理厂建立环境教育基地，面向社会公众开放。（市城市管理监督局、生态环境局按照职责分工负责）</w:t>
      </w:r>
    </w:p>
    <w:p>
      <w:pPr>
        <w:pStyle w:val="16"/>
        <w:widowControl w:val="0"/>
        <w:autoSpaceDE w:val="0"/>
        <w:autoSpaceDN w:val="0"/>
        <w:adjustRightInd w:val="0"/>
        <w:spacing w:before="0" w:after="0" w:line="580" w:lineRule="exact"/>
        <w:ind w:firstLine="643" w:firstLineChars="200"/>
        <w:jc w:val="left"/>
        <w:rPr>
          <w:rFonts w:ascii="楷体_GB2312" w:hAnsi="仿宋_GB2312" w:eastAsia="楷体_GB2312" w:cs="仿宋_GB2312"/>
          <w:b/>
          <w:bCs/>
          <w:color w:val="000000"/>
          <w:sz w:val="32"/>
          <w:lang w:eastAsia="zh-CN"/>
        </w:rPr>
      </w:pPr>
      <w:r>
        <w:rPr>
          <w:rFonts w:hint="eastAsia" w:ascii="楷体_GB2312" w:hAnsi="仿宋_GB2312" w:eastAsia="楷体_GB2312" w:cs="仿宋_GB2312"/>
          <w:b/>
          <w:bCs/>
          <w:color w:val="000000"/>
          <w:sz w:val="32"/>
          <w:lang w:eastAsia="zh-CN"/>
        </w:rPr>
        <w:t>（四）强化责任落实，切实履行监管责任。</w:t>
      </w:r>
    </w:p>
    <w:p>
      <w:pPr>
        <w:pStyle w:val="16"/>
        <w:widowControl w:val="0"/>
        <w:autoSpaceDE w:val="0"/>
        <w:autoSpaceDN w:val="0"/>
        <w:adjustRightInd w:val="0"/>
        <w:spacing w:before="0" w:after="0" w:line="580" w:lineRule="exact"/>
        <w:ind w:firstLine="643" w:firstLineChars="200"/>
        <w:jc w:val="left"/>
        <w:rPr>
          <w:rFonts w:ascii="仿宋_GB2312" w:hAnsi="仿宋_GB2312" w:eastAsia="仿宋_GB2312" w:cs="仿宋_GB2312"/>
          <w:color w:val="000000"/>
          <w:sz w:val="32"/>
          <w:lang w:eastAsia="zh-CN"/>
        </w:rPr>
      </w:pPr>
      <w:r>
        <w:rPr>
          <w:rFonts w:hint="eastAsia" w:ascii="仿宋_GB2312" w:hAnsi="仿宋_GB2312" w:eastAsia="仿宋_GB2312" w:cs="仿宋_GB2312"/>
          <w:b/>
          <w:color w:val="000000"/>
          <w:sz w:val="32"/>
          <w:lang w:eastAsia="zh-CN"/>
        </w:rPr>
        <w:t>1.加强组织领导，落实工作责任。</w:t>
      </w:r>
      <w:r>
        <w:rPr>
          <w:rFonts w:hint="eastAsia" w:ascii="仿宋_GB2312" w:hAnsi="仿宋_GB2312" w:eastAsia="仿宋_GB2312" w:cs="仿宋_GB2312"/>
          <w:color w:val="000000"/>
          <w:sz w:val="32"/>
          <w:lang w:eastAsia="zh-CN"/>
        </w:rPr>
        <w:t>各县（市）区人民政府对本地区污水处理提质增效工作负总责，进一步压实责任、加大举措、狠抓落实，完善组织领导机制，充分发挥河长、湖长作用，切实强化责任落实。要立即组织相关部门制定本地区城镇污水处理提质增效三年行动实施计划，实施计划应进一步</w:t>
      </w:r>
      <w:r>
        <w:rPr>
          <w:rFonts w:hint="eastAsia" w:ascii="仿宋_GB2312" w:hAnsi="仿宋_GB2312" w:eastAsia="仿宋_GB2312" w:cs="仿宋_GB2312"/>
          <w:color w:val="000000"/>
          <w:sz w:val="32"/>
          <w:szCs w:val="32"/>
          <w:lang w:eastAsia="zh-CN"/>
        </w:rPr>
        <w:t>细化工作目标及工作任务，制定各污水处理厂进水BOD浓度目标，结合城区直排口整治等工作，明确每年度污水处理厂和污水管网的建设及改造工程量，制定建设和改造等工作任务清单及分年度计划，</w:t>
      </w:r>
      <w:r>
        <w:rPr>
          <w:rFonts w:hint="eastAsia" w:ascii="仿宋_GB2312" w:hAnsi="仿宋_GB2312" w:eastAsia="仿宋_GB2312" w:cs="仿宋_GB2312"/>
          <w:color w:val="000000"/>
          <w:sz w:val="32"/>
          <w:lang w:eastAsia="zh-CN"/>
        </w:rPr>
        <w:t>完善体制机制，落实各项保障措施和安全防范措施，确保城镇污水处理提质增效工作有序推进。各县（市）区提质增效三年行动方案应于2019年</w:t>
      </w:r>
      <w:r>
        <w:rPr>
          <w:rFonts w:hint="eastAsia" w:ascii="仿宋_GB2312" w:hAnsi="仿宋_GB2312" w:eastAsia="仿宋_GB2312" w:cs="仿宋_GB2312"/>
          <w:color w:val="000000"/>
          <w:sz w:val="32"/>
          <w:lang w:val="en-US" w:eastAsia="zh-CN"/>
        </w:rPr>
        <w:t>10</w:t>
      </w:r>
      <w:r>
        <w:rPr>
          <w:rFonts w:hint="eastAsia" w:ascii="仿宋_GB2312" w:hAnsi="仿宋_GB2312" w:eastAsia="仿宋_GB2312" w:cs="仿宋_GB2312"/>
          <w:color w:val="000000"/>
          <w:sz w:val="32"/>
          <w:lang w:eastAsia="zh-CN"/>
        </w:rPr>
        <w:t>月底前向社会公布并报市城市管理监督局、生态环境局、发展改革委备案。（市城市管理局牵头，生态环境局、发展改革委参与）</w:t>
      </w:r>
    </w:p>
    <w:p>
      <w:pPr>
        <w:pStyle w:val="16"/>
        <w:widowControl w:val="0"/>
        <w:autoSpaceDE w:val="0"/>
        <w:autoSpaceDN w:val="0"/>
        <w:adjustRightInd w:val="0"/>
        <w:spacing w:before="0" w:after="0" w:line="580" w:lineRule="exact"/>
        <w:ind w:firstLine="643" w:firstLineChars="200"/>
        <w:jc w:val="left"/>
        <w:rPr>
          <w:rFonts w:ascii="仿宋_GB2312" w:eastAsia="仿宋_GB2312" w:hAnsiTheme="minorHAnsi" w:cstheme="minorBidi"/>
          <w:kern w:val="2"/>
          <w:sz w:val="32"/>
          <w:szCs w:val="32"/>
          <w:lang w:eastAsia="zh-CN"/>
        </w:rPr>
      </w:pPr>
      <w:r>
        <w:rPr>
          <w:rFonts w:hint="eastAsia" w:ascii="仿宋_GB2312" w:hAnsi="仿宋_GB2312" w:eastAsia="仿宋_GB2312" w:cs="仿宋_GB2312"/>
          <w:b/>
          <w:color w:val="000000"/>
          <w:sz w:val="32"/>
          <w:lang w:eastAsia="zh-CN"/>
        </w:rPr>
        <w:t>2.严格责任追究，强化督促检查。</w:t>
      </w:r>
      <w:r>
        <w:rPr>
          <w:rFonts w:hint="eastAsia" w:ascii="仿宋_GB2312" w:hAnsi="仿宋_GB2312" w:eastAsia="仿宋_GB2312" w:cs="仿宋_GB2312"/>
          <w:color w:val="000000"/>
          <w:sz w:val="32"/>
          <w:lang w:eastAsia="zh-CN"/>
        </w:rPr>
        <w:t>市有关部门要依法依规对破坏排水管网、违规直排污水等行为进行处罚，对造成污染事故和破坏生态环境事件的，要严肃追究相关责任。加强对本地区污水处理设施提质增效工作的督导、知道、跟踪和汇总，形成相关工作台账。市直有关部门每年要对城镇污水处理提质增效三年行动实施情况进行自查，由城市管理监督局、生态环境局、发展改革委汇总工作进展情况报告，自2020年起，每年1月底前向自治区住房城乡建设厅、生态环境厅、发展改革委报送上年度城镇污水处理提质增效三年行动实施进展情况。（市城市管理监督局、生态环境局、发展改革委、住房城乡建设局按照职责分工负责）</w:t>
      </w:r>
    </w:p>
    <w:p>
      <w:pPr>
        <w:pStyle w:val="9"/>
        <w:widowControl w:val="0"/>
        <w:autoSpaceDE w:val="0"/>
        <w:autoSpaceDN w:val="0"/>
        <w:adjustRightInd w:val="0"/>
        <w:spacing w:before="0" w:after="0" w:line="580" w:lineRule="exact"/>
        <w:ind w:firstLine="640" w:firstLineChars="200"/>
        <w:jc w:val="left"/>
        <w:rPr>
          <w:rFonts w:ascii="仿宋_GB2312" w:eastAsia="仿宋_GB2312" w:hAnsiTheme="minorHAnsi" w:cstheme="minorBidi"/>
          <w:kern w:val="2"/>
          <w:sz w:val="32"/>
          <w:szCs w:val="32"/>
          <w:lang w:val="en-US" w:eastAsia="zh-CN"/>
        </w:rPr>
      </w:pPr>
    </w:p>
    <w:p>
      <w:pPr>
        <w:pStyle w:val="9"/>
        <w:widowControl w:val="0"/>
        <w:autoSpaceDE w:val="0"/>
        <w:autoSpaceDN w:val="0"/>
        <w:adjustRightInd w:val="0"/>
        <w:spacing w:before="0" w:after="0" w:line="580" w:lineRule="exact"/>
        <w:ind w:firstLine="640" w:firstLineChars="200"/>
        <w:jc w:val="left"/>
        <w:rPr>
          <w:rFonts w:ascii="仿宋_GB2312" w:eastAsia="仿宋_GB2312" w:hAnsiTheme="minorHAnsi" w:cstheme="minorBidi"/>
          <w:kern w:val="2"/>
          <w:sz w:val="32"/>
          <w:szCs w:val="32"/>
          <w:lang w:val="en-US" w:eastAsia="zh-CN"/>
        </w:rPr>
      </w:pPr>
    </w:p>
    <w:p>
      <w:pPr>
        <w:pStyle w:val="9"/>
        <w:widowControl w:val="0"/>
        <w:autoSpaceDE w:val="0"/>
        <w:autoSpaceDN w:val="0"/>
        <w:adjustRightInd w:val="0"/>
        <w:spacing w:before="0" w:after="0" w:line="580" w:lineRule="exact"/>
        <w:ind w:firstLine="640" w:firstLineChars="200"/>
        <w:jc w:val="left"/>
        <w:rPr>
          <w:rFonts w:ascii="仿宋_GB2312" w:eastAsia="仿宋_GB2312" w:hAnsiTheme="minorHAnsi" w:cstheme="minorBidi"/>
          <w:kern w:val="2"/>
          <w:sz w:val="32"/>
          <w:szCs w:val="32"/>
          <w:lang w:val="en-US" w:eastAsia="zh-CN"/>
        </w:rPr>
      </w:pPr>
    </w:p>
    <w:p>
      <w:pPr>
        <w:pStyle w:val="9"/>
        <w:widowControl w:val="0"/>
        <w:autoSpaceDE w:val="0"/>
        <w:autoSpaceDN w:val="0"/>
        <w:adjustRightInd w:val="0"/>
        <w:spacing w:before="0" w:after="0" w:line="580" w:lineRule="exact"/>
        <w:ind w:firstLine="640" w:firstLineChars="200"/>
        <w:jc w:val="left"/>
        <w:rPr>
          <w:rFonts w:ascii="仿宋_GB2312" w:eastAsia="仿宋_GB2312" w:hAnsiTheme="minorHAnsi" w:cstheme="minorBidi"/>
          <w:kern w:val="2"/>
          <w:sz w:val="32"/>
          <w:szCs w:val="32"/>
          <w:lang w:val="en-US" w:eastAsia="zh-CN"/>
        </w:rPr>
      </w:pPr>
    </w:p>
    <w:p>
      <w:pPr>
        <w:pStyle w:val="9"/>
        <w:widowControl w:val="0"/>
        <w:autoSpaceDE w:val="0"/>
        <w:autoSpaceDN w:val="0"/>
        <w:adjustRightInd w:val="0"/>
        <w:spacing w:before="0" w:after="0" w:line="580" w:lineRule="exact"/>
        <w:ind w:firstLine="640" w:firstLineChars="200"/>
        <w:jc w:val="left"/>
        <w:rPr>
          <w:rFonts w:ascii="仿宋_GB2312" w:eastAsia="仿宋_GB2312" w:hAnsiTheme="minorHAnsi" w:cstheme="minorBidi"/>
          <w:kern w:val="2"/>
          <w:sz w:val="32"/>
          <w:szCs w:val="32"/>
          <w:lang w:val="en-US" w:eastAsia="zh-CN"/>
        </w:rPr>
      </w:pPr>
    </w:p>
    <w:p>
      <w:pPr>
        <w:pStyle w:val="9"/>
        <w:widowControl w:val="0"/>
        <w:autoSpaceDE w:val="0"/>
        <w:autoSpaceDN w:val="0"/>
        <w:adjustRightInd w:val="0"/>
        <w:spacing w:before="0" w:after="0" w:line="580" w:lineRule="exact"/>
        <w:ind w:firstLine="640" w:firstLineChars="200"/>
        <w:jc w:val="left"/>
        <w:rPr>
          <w:rFonts w:ascii="仿宋_GB2312" w:eastAsia="仿宋_GB2312" w:hAnsiTheme="minorHAnsi" w:cstheme="minorBidi"/>
          <w:kern w:val="2"/>
          <w:sz w:val="32"/>
          <w:szCs w:val="32"/>
          <w:lang w:val="en-US" w:eastAsia="zh-CN"/>
        </w:rPr>
      </w:pPr>
    </w:p>
    <w:p>
      <w:pPr>
        <w:pStyle w:val="9"/>
        <w:widowControl w:val="0"/>
        <w:autoSpaceDE w:val="0"/>
        <w:autoSpaceDN w:val="0"/>
        <w:adjustRightInd w:val="0"/>
        <w:spacing w:before="0" w:after="0" w:line="580" w:lineRule="exact"/>
        <w:jc w:val="left"/>
        <w:rPr>
          <w:rFonts w:ascii="仿宋_GB2312" w:eastAsia="仿宋_GB2312" w:hAnsiTheme="minorHAnsi" w:cstheme="minorBidi"/>
          <w:kern w:val="2"/>
          <w:sz w:val="32"/>
          <w:szCs w:val="32"/>
          <w:lang w:val="en-US" w:eastAsia="zh-CN"/>
        </w:rPr>
      </w:pPr>
    </w:p>
    <w:sectPr>
      <w:footerReference r:id="rId3" w:type="default"/>
      <w:pgSz w:w="11906" w:h="16838"/>
      <w:pgMar w:top="2098" w:right="1474" w:bottom="1984" w:left="1587"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304B1"/>
    <w:multiLevelType w:val="singleLevel"/>
    <w:tmpl w:val="4FF304B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2318"/>
    <w:rsid w:val="000426F1"/>
    <w:rsid w:val="00052C71"/>
    <w:rsid w:val="00075E00"/>
    <w:rsid w:val="000C7326"/>
    <w:rsid w:val="00147D66"/>
    <w:rsid w:val="00171072"/>
    <w:rsid w:val="0019245D"/>
    <w:rsid w:val="00207545"/>
    <w:rsid w:val="002F1BA7"/>
    <w:rsid w:val="003236C4"/>
    <w:rsid w:val="00341D00"/>
    <w:rsid w:val="003634A8"/>
    <w:rsid w:val="003E7A7B"/>
    <w:rsid w:val="00441FDF"/>
    <w:rsid w:val="0044373B"/>
    <w:rsid w:val="00455EE1"/>
    <w:rsid w:val="0048345D"/>
    <w:rsid w:val="00531A6C"/>
    <w:rsid w:val="00532318"/>
    <w:rsid w:val="00563A76"/>
    <w:rsid w:val="00580E4E"/>
    <w:rsid w:val="005974D0"/>
    <w:rsid w:val="005C206B"/>
    <w:rsid w:val="005D6341"/>
    <w:rsid w:val="00625AA4"/>
    <w:rsid w:val="00636BD0"/>
    <w:rsid w:val="007528C0"/>
    <w:rsid w:val="00765848"/>
    <w:rsid w:val="008557C4"/>
    <w:rsid w:val="00861F70"/>
    <w:rsid w:val="009017E3"/>
    <w:rsid w:val="009118CD"/>
    <w:rsid w:val="0091657F"/>
    <w:rsid w:val="009553AE"/>
    <w:rsid w:val="009607BC"/>
    <w:rsid w:val="00962E19"/>
    <w:rsid w:val="009815C8"/>
    <w:rsid w:val="00A075E3"/>
    <w:rsid w:val="00A13C54"/>
    <w:rsid w:val="00A27673"/>
    <w:rsid w:val="00A41422"/>
    <w:rsid w:val="00A46C67"/>
    <w:rsid w:val="00AA2EB3"/>
    <w:rsid w:val="00B23357"/>
    <w:rsid w:val="00B4351D"/>
    <w:rsid w:val="00BB55CB"/>
    <w:rsid w:val="00BB6A94"/>
    <w:rsid w:val="00CD55DC"/>
    <w:rsid w:val="00D56634"/>
    <w:rsid w:val="00D806BD"/>
    <w:rsid w:val="00DA0D37"/>
    <w:rsid w:val="00DD5CAB"/>
    <w:rsid w:val="00E02034"/>
    <w:rsid w:val="00E3630E"/>
    <w:rsid w:val="00E70980"/>
    <w:rsid w:val="00E80388"/>
    <w:rsid w:val="00EB1644"/>
    <w:rsid w:val="00F76D63"/>
    <w:rsid w:val="0208252E"/>
    <w:rsid w:val="02931F44"/>
    <w:rsid w:val="02B67F80"/>
    <w:rsid w:val="03D72390"/>
    <w:rsid w:val="068A2293"/>
    <w:rsid w:val="09BF798E"/>
    <w:rsid w:val="0C3B67AE"/>
    <w:rsid w:val="0C997816"/>
    <w:rsid w:val="143916BE"/>
    <w:rsid w:val="17472C3F"/>
    <w:rsid w:val="1768423A"/>
    <w:rsid w:val="186926BA"/>
    <w:rsid w:val="1AD552B1"/>
    <w:rsid w:val="1B1E5CD2"/>
    <w:rsid w:val="1F6E673B"/>
    <w:rsid w:val="272137FC"/>
    <w:rsid w:val="290629C1"/>
    <w:rsid w:val="29941ECC"/>
    <w:rsid w:val="2E6816D7"/>
    <w:rsid w:val="32B169BA"/>
    <w:rsid w:val="34E108DE"/>
    <w:rsid w:val="36AF1D2A"/>
    <w:rsid w:val="37BF35A7"/>
    <w:rsid w:val="3B87540B"/>
    <w:rsid w:val="3D81254E"/>
    <w:rsid w:val="3F9D6B8D"/>
    <w:rsid w:val="42774265"/>
    <w:rsid w:val="438E1A13"/>
    <w:rsid w:val="499C2FEB"/>
    <w:rsid w:val="4A2F4242"/>
    <w:rsid w:val="4BE77A6E"/>
    <w:rsid w:val="566949B6"/>
    <w:rsid w:val="56F917F9"/>
    <w:rsid w:val="59441775"/>
    <w:rsid w:val="5DBD3965"/>
    <w:rsid w:val="62014089"/>
    <w:rsid w:val="644762D0"/>
    <w:rsid w:val="64A27376"/>
    <w:rsid w:val="653F068C"/>
    <w:rsid w:val="65881972"/>
    <w:rsid w:val="6C046C42"/>
    <w:rsid w:val="6EE77F1D"/>
    <w:rsid w:val="707403A3"/>
    <w:rsid w:val="7E3824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Normal_0"/>
    <w:qFormat/>
    <w:uiPriority w:val="0"/>
    <w:pPr>
      <w:spacing w:before="120" w:after="240"/>
      <w:jc w:val="both"/>
    </w:pPr>
    <w:rPr>
      <w:rFonts w:ascii="Calibri" w:hAnsi="Calibri" w:eastAsia="Calibri" w:cs="Times New Roman"/>
      <w:sz w:val="22"/>
      <w:szCs w:val="22"/>
      <w:lang w:val="ru-RU" w:eastAsia="en-US" w:bidi="ar-SA"/>
    </w:rPr>
  </w:style>
  <w:style w:type="character" w:customStyle="1" w:styleId="7">
    <w:name w:val="页眉 Char"/>
    <w:basedOn w:val="5"/>
    <w:link w:val="3"/>
    <w:qFormat/>
    <w:uiPriority w:val="0"/>
    <w:rPr>
      <w:sz w:val="18"/>
      <w:szCs w:val="18"/>
    </w:rPr>
  </w:style>
  <w:style w:type="character" w:customStyle="1" w:styleId="8">
    <w:name w:val="页脚 Char"/>
    <w:basedOn w:val="5"/>
    <w:link w:val="2"/>
    <w:qFormat/>
    <w:uiPriority w:val="99"/>
    <w:rPr>
      <w:sz w:val="18"/>
      <w:szCs w:val="18"/>
    </w:rPr>
  </w:style>
  <w:style w:type="paragraph" w:customStyle="1" w:styleId="9">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10">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1">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12">
    <w:name w:val="Normal_4"/>
    <w:qFormat/>
    <w:uiPriority w:val="0"/>
    <w:pPr>
      <w:spacing w:before="120" w:after="240"/>
      <w:jc w:val="both"/>
    </w:pPr>
    <w:rPr>
      <w:rFonts w:ascii="Calibri" w:hAnsi="Calibri" w:eastAsia="Calibri" w:cs="Times New Roman"/>
      <w:sz w:val="22"/>
      <w:szCs w:val="22"/>
      <w:lang w:val="ru-RU" w:eastAsia="en-US" w:bidi="ar-SA"/>
    </w:rPr>
  </w:style>
  <w:style w:type="paragraph" w:customStyle="1" w:styleId="13">
    <w:name w:val="Normal_5"/>
    <w:qFormat/>
    <w:uiPriority w:val="0"/>
    <w:pPr>
      <w:spacing w:before="120" w:after="240"/>
      <w:jc w:val="both"/>
    </w:pPr>
    <w:rPr>
      <w:rFonts w:ascii="Calibri" w:hAnsi="Calibri" w:eastAsia="Calibri" w:cs="Times New Roman"/>
      <w:sz w:val="22"/>
      <w:szCs w:val="22"/>
      <w:lang w:val="ru-RU" w:eastAsia="en-US" w:bidi="ar-SA"/>
    </w:rPr>
  </w:style>
  <w:style w:type="paragraph" w:customStyle="1" w:styleId="14">
    <w:name w:val="Normal_6"/>
    <w:qFormat/>
    <w:uiPriority w:val="0"/>
    <w:pPr>
      <w:spacing w:before="120" w:after="240"/>
      <w:jc w:val="both"/>
    </w:pPr>
    <w:rPr>
      <w:rFonts w:ascii="Calibri" w:hAnsi="Calibri" w:eastAsia="Calibri" w:cs="Times New Roman"/>
      <w:sz w:val="22"/>
      <w:szCs w:val="22"/>
      <w:lang w:val="ru-RU" w:eastAsia="en-US" w:bidi="ar-SA"/>
    </w:rPr>
  </w:style>
  <w:style w:type="paragraph" w:customStyle="1" w:styleId="15">
    <w:name w:val="Normal_7"/>
    <w:qFormat/>
    <w:uiPriority w:val="0"/>
    <w:pPr>
      <w:spacing w:before="120" w:after="240"/>
      <w:jc w:val="both"/>
    </w:pPr>
    <w:rPr>
      <w:rFonts w:ascii="Calibri" w:hAnsi="Calibri" w:eastAsia="Calibri" w:cs="Times New Roman"/>
      <w:sz w:val="22"/>
      <w:szCs w:val="22"/>
      <w:lang w:val="ru-RU" w:eastAsia="en-US" w:bidi="ar-SA"/>
    </w:rPr>
  </w:style>
  <w:style w:type="paragraph" w:customStyle="1" w:styleId="16">
    <w:name w:val="Normal_8"/>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932</Words>
  <Characters>5313</Characters>
  <Lines>44</Lines>
  <Paragraphs>12</Paragraphs>
  <TotalTime>19</TotalTime>
  <ScaleCrop>false</ScaleCrop>
  <LinksUpToDate>false</LinksUpToDate>
  <CharactersWithSpaces>6233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2019-09-10T10:47:00Z</dcterms:created>
  <dc:creator>微软用户</dc:creator>
  <cp:lastModifiedBy>菊花芬芳</cp:lastModifiedBy>
  <cp:lastPrinted>2019-09-27T01:31:00Z</cp:lastPrinted>
  <dcterms:modified xsi:type="dcterms:W3CDTF">2019-09-30T02:55:13Z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